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ליאת דהן חיון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696960" w:rsidRDefault="00940B55">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5E6CEC" w:rsidP="00897DAF">
            <w:pPr>
              <w:suppressLineNumbers/>
              <w:rPr>
                <w:b/>
                <w:bCs/>
                <w:noProof w:val="0"/>
                <w:sz w:val="26"/>
                <w:szCs w:val="26"/>
              </w:rPr>
            </w:pPr>
            <w:r>
              <w:rPr>
                <w:rFonts w:ascii="Arial" w:hAnsi="Arial" w:hint="cs"/>
                <w:b/>
                <w:bCs/>
                <w:noProof w:val="0"/>
                <w:sz w:val="26"/>
                <w:szCs w:val="26"/>
                <w:rtl/>
              </w:rPr>
              <w:t xml:space="preserve">פלונית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F1BC1" w:rsidP="00D44968">
            <w:pPr>
              <w:suppressLineNumbers/>
              <w:rPr>
                <w:rFonts w:ascii="Arial" w:hAnsi="Arial"/>
                <w:b/>
                <w:bCs/>
                <w:noProof w:val="0"/>
                <w:sz w:val="26"/>
                <w:szCs w:val="26"/>
              </w:rPr>
            </w:pPr>
            <w:sdt>
              <w:sdtPr>
                <w:rPr>
                  <w:rtl/>
                </w:rPr>
                <w:alias w:val="1184"/>
                <w:tag w:val="1184"/>
                <w:id w:val="-340621022"/>
                <w:text w:multiLine="1"/>
              </w:sdtPr>
              <w:sdtEndPr/>
              <w:sdtContent>
                <w:r w:rsidR="00940B55">
                  <w:rPr>
                    <w:rFonts w:ascii="Arial" w:hAnsi="Arial"/>
                    <w:b/>
                    <w:bCs/>
                    <w:noProof w:val="0"/>
                    <w:sz w:val="26"/>
                    <w:szCs w:val="26"/>
                    <w:rtl/>
                  </w:rPr>
                  <w:t>נתבע</w:t>
                </w:r>
              </w:sdtContent>
            </w:sdt>
          </w:p>
        </w:tc>
        <w:tc>
          <w:tcPr>
            <w:tcW w:w="5571" w:type="dxa"/>
          </w:tcPr>
          <w:p w:rsidR="0094424E" w:rsidRPr="006B6C39" w:rsidRDefault="005E6CEC" w:rsidP="00897DAF">
            <w:pPr>
              <w:suppressLineNumbers/>
              <w:rPr>
                <w:rFonts w:ascii="Arial" w:hAnsi="Arial"/>
                <w:b/>
                <w:bCs/>
                <w:noProof w:val="0"/>
                <w:sz w:val="26"/>
                <w:szCs w:val="26"/>
                <w:rtl/>
              </w:rPr>
            </w:pPr>
            <w:r w:rsidRPr="006B6C39">
              <w:rPr>
                <w:rFonts w:hint="cs"/>
                <w:b/>
                <w:bCs/>
                <w:rtl/>
              </w:rPr>
              <w:t xml:space="preserve">אלמוני </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940B55" w:rsidRDefault="00E335DA">
      <w:pPr>
        <w:spacing w:line="360" w:lineRule="auto"/>
        <w:jc w:val="both"/>
        <w:rPr>
          <w:rFonts w:ascii="Arial" w:hAnsi="Arial"/>
          <w:noProof w:val="0"/>
          <w:rtl/>
        </w:rPr>
      </w:pPr>
      <w:r>
        <w:rPr>
          <w:rFonts w:ascii="Arial" w:hAnsi="Arial" w:hint="cs"/>
          <w:noProof w:val="0"/>
          <w:rtl/>
        </w:rPr>
        <w:t xml:space="preserve">עניינה של  החלטתי בבקשת התובעת </w:t>
      </w:r>
      <w:r w:rsidR="00940B55">
        <w:rPr>
          <w:rFonts w:ascii="Arial" w:hAnsi="Arial" w:hint="cs"/>
          <w:noProof w:val="0"/>
          <w:rtl/>
        </w:rPr>
        <w:t xml:space="preserve"> להורות על ביטול פ</w:t>
      </w:r>
      <w:r w:rsidR="000A7719">
        <w:rPr>
          <w:rFonts w:ascii="Arial" w:hAnsi="Arial" w:hint="cs"/>
          <w:noProof w:val="0"/>
          <w:rtl/>
        </w:rPr>
        <w:t xml:space="preserve">ס"ד מיום 7.4.24 בהתאם לו נקבעה </w:t>
      </w:r>
      <w:r w:rsidR="00940B55">
        <w:rPr>
          <w:rFonts w:ascii="Arial" w:hAnsi="Arial" w:hint="cs"/>
          <w:noProof w:val="0"/>
          <w:rtl/>
        </w:rPr>
        <w:t>סמכות</w:t>
      </w:r>
      <w:r w:rsidR="000A7719">
        <w:rPr>
          <w:rFonts w:ascii="Arial" w:hAnsi="Arial" w:hint="cs"/>
          <w:noProof w:val="0"/>
          <w:rtl/>
        </w:rPr>
        <w:t xml:space="preserve"> נמשכת לבית הדין השרעי, וזאת </w:t>
      </w:r>
      <w:r w:rsidR="00A73967">
        <w:rPr>
          <w:rFonts w:ascii="Arial" w:hAnsi="Arial" w:hint="cs"/>
          <w:noProof w:val="0"/>
          <w:rtl/>
        </w:rPr>
        <w:t xml:space="preserve"> בין היתר בה</w:t>
      </w:r>
      <w:r w:rsidR="000A7719">
        <w:rPr>
          <w:rFonts w:ascii="Arial" w:hAnsi="Arial" w:hint="cs"/>
          <w:noProof w:val="0"/>
          <w:rtl/>
        </w:rPr>
        <w:t>יעדר תגובה מטעמה</w:t>
      </w:r>
      <w:r w:rsidR="00A73967">
        <w:rPr>
          <w:rFonts w:ascii="Arial" w:hAnsi="Arial" w:hint="cs"/>
          <w:noProof w:val="0"/>
          <w:rtl/>
        </w:rPr>
        <w:t xml:space="preserve">. </w:t>
      </w:r>
    </w:p>
    <w:p w:rsidR="00940B55" w:rsidRDefault="00940B55">
      <w:pPr>
        <w:spacing w:line="360" w:lineRule="auto"/>
        <w:jc w:val="both"/>
        <w:rPr>
          <w:rFonts w:ascii="Arial" w:hAnsi="Arial"/>
          <w:noProof w:val="0"/>
          <w:rtl/>
        </w:rPr>
      </w:pPr>
    </w:p>
    <w:p w:rsidR="00694556" w:rsidRDefault="00E335DA" w:rsidP="00940B55">
      <w:pPr>
        <w:spacing w:line="360" w:lineRule="auto"/>
        <w:jc w:val="both"/>
        <w:rPr>
          <w:rFonts w:ascii="Arial" w:hAnsi="Arial"/>
          <w:noProof w:val="0"/>
          <w:rtl/>
        </w:rPr>
      </w:pPr>
      <w:r>
        <w:rPr>
          <w:rFonts w:ascii="Arial" w:hAnsi="Arial" w:hint="cs"/>
          <w:noProof w:val="0"/>
          <w:rtl/>
        </w:rPr>
        <w:t>לאחר שעיינתי</w:t>
      </w:r>
      <w:r w:rsidR="007A4C01">
        <w:rPr>
          <w:rFonts w:ascii="Arial" w:hAnsi="Arial" w:hint="cs"/>
          <w:noProof w:val="0"/>
          <w:rtl/>
        </w:rPr>
        <w:t xml:space="preserve"> </w:t>
      </w:r>
      <w:r w:rsidR="00713410">
        <w:rPr>
          <w:rFonts w:ascii="Arial" w:hAnsi="Arial" w:hint="cs"/>
          <w:noProof w:val="0"/>
          <w:rtl/>
        </w:rPr>
        <w:t>ב</w:t>
      </w:r>
      <w:r w:rsidR="000A7719">
        <w:rPr>
          <w:rFonts w:ascii="Arial" w:hAnsi="Arial" w:hint="cs"/>
          <w:noProof w:val="0"/>
          <w:rtl/>
        </w:rPr>
        <w:t xml:space="preserve">טענת הנתבע </w:t>
      </w:r>
      <w:r w:rsidR="00713410">
        <w:rPr>
          <w:rFonts w:ascii="Arial" w:hAnsi="Arial" w:hint="cs"/>
          <w:noProof w:val="0"/>
          <w:rtl/>
        </w:rPr>
        <w:t xml:space="preserve"> בדבר </w:t>
      </w:r>
      <w:r w:rsidR="00940B55">
        <w:rPr>
          <w:rFonts w:ascii="Arial" w:hAnsi="Arial" w:hint="cs"/>
          <w:noProof w:val="0"/>
          <w:rtl/>
        </w:rPr>
        <w:t>סמכות</w:t>
      </w:r>
      <w:r w:rsidR="000A7719">
        <w:rPr>
          <w:rFonts w:ascii="Arial" w:hAnsi="Arial" w:hint="cs"/>
          <w:noProof w:val="0"/>
          <w:rtl/>
        </w:rPr>
        <w:t>ו הנמשכת של בית הדין</w:t>
      </w:r>
      <w:r w:rsidR="00940B55">
        <w:rPr>
          <w:rFonts w:ascii="Arial" w:hAnsi="Arial" w:hint="cs"/>
          <w:noProof w:val="0"/>
          <w:rtl/>
        </w:rPr>
        <w:t xml:space="preserve">, </w:t>
      </w:r>
      <w:r w:rsidR="000A7719">
        <w:rPr>
          <w:rFonts w:ascii="Arial" w:hAnsi="Arial" w:hint="cs"/>
          <w:noProof w:val="0"/>
          <w:rtl/>
        </w:rPr>
        <w:t>בתשובת התובעת</w:t>
      </w:r>
      <w:r w:rsidR="007A4C01">
        <w:rPr>
          <w:rFonts w:ascii="Arial" w:hAnsi="Arial" w:hint="cs"/>
          <w:noProof w:val="0"/>
          <w:rtl/>
        </w:rPr>
        <w:t>, בכלל המסמכים שצורפו מה</w:t>
      </w:r>
      <w:r w:rsidR="00940B55">
        <w:rPr>
          <w:rFonts w:ascii="Arial" w:hAnsi="Arial" w:hint="cs"/>
          <w:noProof w:val="0"/>
          <w:rtl/>
        </w:rPr>
        <w:t>הליכים הקודמים</w:t>
      </w:r>
      <w:r w:rsidR="007A4C01">
        <w:rPr>
          <w:rFonts w:ascii="Arial" w:hAnsi="Arial" w:hint="cs"/>
          <w:noProof w:val="0"/>
          <w:rtl/>
        </w:rPr>
        <w:t xml:space="preserve"> בעניין  הקטינה, לרבות אלה שהתנהלו לפני בית הדין השרעי ובית משפט לנוער</w:t>
      </w:r>
      <w:r w:rsidR="00713410">
        <w:rPr>
          <w:rFonts w:ascii="Arial" w:hAnsi="Arial" w:hint="cs"/>
          <w:noProof w:val="0"/>
          <w:rtl/>
        </w:rPr>
        <w:t xml:space="preserve">, ונתתי דעתי להליכים ולהחלטות בתיק זה, מצאתי לקבל את הבקשה; </w:t>
      </w:r>
    </w:p>
    <w:p w:rsidR="007A4C01" w:rsidRDefault="007A4C01">
      <w:pPr>
        <w:spacing w:line="360" w:lineRule="auto"/>
        <w:jc w:val="both"/>
        <w:rPr>
          <w:rFonts w:ascii="Arial" w:hAnsi="Arial"/>
          <w:noProof w:val="0"/>
          <w:rtl/>
        </w:rPr>
      </w:pPr>
    </w:p>
    <w:p w:rsidR="007A4C01" w:rsidRDefault="007A4C01" w:rsidP="00713410">
      <w:pPr>
        <w:pStyle w:val="ad"/>
        <w:numPr>
          <w:ilvl w:val="0"/>
          <w:numId w:val="1"/>
        </w:numPr>
        <w:spacing w:line="360" w:lineRule="auto"/>
        <w:jc w:val="both"/>
        <w:rPr>
          <w:rFonts w:ascii="Arial" w:hAnsi="Arial"/>
          <w:noProof w:val="0"/>
        </w:rPr>
      </w:pPr>
      <w:r>
        <w:rPr>
          <w:rFonts w:ascii="Arial" w:hAnsi="Arial" w:hint="cs"/>
          <w:noProof w:val="0"/>
          <w:rtl/>
        </w:rPr>
        <w:t>ראשית א</w:t>
      </w:r>
      <w:r w:rsidR="000A7719">
        <w:rPr>
          <w:rFonts w:ascii="Arial" w:hAnsi="Arial" w:hint="cs"/>
          <w:noProof w:val="0"/>
          <w:rtl/>
        </w:rPr>
        <w:t>ציין שמצאתי לקבל את בקשת ב"כ התובעת</w:t>
      </w:r>
      <w:r>
        <w:rPr>
          <w:rFonts w:ascii="Arial" w:hAnsi="Arial" w:hint="cs"/>
          <w:noProof w:val="0"/>
          <w:rtl/>
        </w:rPr>
        <w:t xml:space="preserve"> להאריך את המועד להגשת תג</w:t>
      </w:r>
      <w:r w:rsidR="00713410">
        <w:rPr>
          <w:rFonts w:ascii="Arial" w:hAnsi="Arial" w:hint="cs"/>
          <w:noProof w:val="0"/>
          <w:rtl/>
        </w:rPr>
        <w:t xml:space="preserve">ובתה בהתאם להחלטה מיום 14.3.24, וזאת מן הנימוקים המפורטים בה. </w:t>
      </w:r>
    </w:p>
    <w:p w:rsidR="00940B55" w:rsidRDefault="00940B55" w:rsidP="000A7719">
      <w:pPr>
        <w:pStyle w:val="ad"/>
        <w:ind w:left="360"/>
        <w:jc w:val="both"/>
        <w:rPr>
          <w:rFonts w:ascii="Arial" w:hAnsi="Arial"/>
          <w:noProof w:val="0"/>
        </w:rPr>
      </w:pPr>
    </w:p>
    <w:p w:rsidR="0007689A" w:rsidRDefault="0007689A" w:rsidP="00C63834">
      <w:pPr>
        <w:pStyle w:val="ad"/>
        <w:numPr>
          <w:ilvl w:val="0"/>
          <w:numId w:val="1"/>
        </w:numPr>
        <w:spacing w:line="360" w:lineRule="auto"/>
        <w:jc w:val="both"/>
        <w:rPr>
          <w:rFonts w:ascii="Arial" w:hAnsi="Arial"/>
          <w:noProof w:val="0"/>
        </w:rPr>
      </w:pPr>
      <w:r>
        <w:rPr>
          <w:rFonts w:ascii="Arial" w:hAnsi="Arial" w:hint="cs"/>
          <w:noProof w:val="0"/>
          <w:rtl/>
        </w:rPr>
        <w:t>עוד אבהיר כי עיינתי בעמדת האפוט' לדין במסגרת ההליך לפני בית המשפט לנוער, כמו גם בהחלט</w:t>
      </w:r>
      <w:r w:rsidR="00713410">
        <w:rPr>
          <w:rFonts w:ascii="Arial" w:hAnsi="Arial" w:hint="cs"/>
          <w:noProof w:val="0"/>
          <w:rtl/>
        </w:rPr>
        <w:t>ת בית המשפט מיום 18.5.23, ברם</w:t>
      </w:r>
      <w:r>
        <w:rPr>
          <w:rFonts w:ascii="Arial" w:hAnsi="Arial" w:hint="cs"/>
          <w:noProof w:val="0"/>
          <w:rtl/>
        </w:rPr>
        <w:t xml:space="preserve"> באלה, בניגוד לנטען, לא</w:t>
      </w:r>
      <w:r w:rsidR="00713410">
        <w:rPr>
          <w:rFonts w:ascii="Arial" w:hAnsi="Arial" w:hint="cs"/>
          <w:noProof w:val="0"/>
          <w:rtl/>
        </w:rPr>
        <w:t xml:space="preserve"> היה בכדי לקבוע את הסמכות לבית המשפט כאן; ראשית, כידוע, </w:t>
      </w:r>
      <w:r w:rsidR="00940B55">
        <w:rPr>
          <w:rFonts w:ascii="Arial" w:hAnsi="Arial" w:hint="cs"/>
          <w:noProof w:val="0"/>
          <w:rtl/>
        </w:rPr>
        <w:t>לבית המשפט לפני</w:t>
      </w:r>
      <w:r w:rsidR="00C63834">
        <w:rPr>
          <w:rFonts w:ascii="Arial" w:hAnsi="Arial" w:hint="cs"/>
          <w:noProof w:val="0"/>
          <w:rtl/>
        </w:rPr>
        <w:t>ו</w:t>
      </w:r>
      <w:r w:rsidR="00940B55">
        <w:rPr>
          <w:rFonts w:ascii="Arial" w:hAnsi="Arial" w:hint="cs"/>
          <w:noProof w:val="0"/>
          <w:rtl/>
        </w:rPr>
        <w:t xml:space="preserve"> מתברר ההליך נתונה </w:t>
      </w:r>
      <w:r w:rsidR="00713410">
        <w:rPr>
          <w:rFonts w:ascii="Arial" w:hAnsi="Arial" w:hint="cs"/>
          <w:noProof w:val="0"/>
          <w:rtl/>
        </w:rPr>
        <w:t>ההכרעה בשאלת הסמכות לדון בהליך</w:t>
      </w:r>
      <w:r>
        <w:rPr>
          <w:rFonts w:ascii="Arial" w:hAnsi="Arial" w:hint="cs"/>
          <w:noProof w:val="0"/>
          <w:rtl/>
        </w:rPr>
        <w:t xml:space="preserve">. </w:t>
      </w:r>
      <w:r w:rsidR="00940B55">
        <w:rPr>
          <w:rFonts w:ascii="Arial" w:hAnsi="Arial" w:hint="cs"/>
          <w:noProof w:val="0"/>
          <w:rtl/>
        </w:rPr>
        <w:t xml:space="preserve">יתר על כן </w:t>
      </w:r>
      <w:r>
        <w:rPr>
          <w:rFonts w:ascii="Arial" w:hAnsi="Arial" w:hint="cs"/>
          <w:noProof w:val="0"/>
          <w:rtl/>
        </w:rPr>
        <w:t>ומבלי לפגוע באמור,</w:t>
      </w:r>
      <w:r w:rsidR="00C63834">
        <w:rPr>
          <w:rFonts w:ascii="Arial" w:hAnsi="Arial" w:hint="cs"/>
          <w:noProof w:val="0"/>
          <w:rtl/>
        </w:rPr>
        <w:t xml:space="preserve"> הרי שעיון בטענות הצדדים מלמד שאלה עיקרם בשאלת הסמכות לפני בית המ</w:t>
      </w:r>
      <w:r w:rsidR="00713410">
        <w:rPr>
          <w:rFonts w:ascii="Arial" w:hAnsi="Arial" w:hint="cs"/>
          <w:noProof w:val="0"/>
          <w:rtl/>
        </w:rPr>
        <w:t>שפט לנוער אל מול בית הדין השרעי</w:t>
      </w:r>
      <w:r w:rsidR="00C63834">
        <w:rPr>
          <w:rFonts w:ascii="Arial" w:hAnsi="Arial" w:hint="cs"/>
          <w:noProof w:val="0"/>
          <w:rtl/>
        </w:rPr>
        <w:t xml:space="preserve">, ואינן קשורות עם סמכותו של </w:t>
      </w:r>
      <w:r>
        <w:rPr>
          <w:rFonts w:ascii="Arial" w:hAnsi="Arial" w:hint="cs"/>
          <w:noProof w:val="0"/>
          <w:rtl/>
        </w:rPr>
        <w:t>בית המשפט כאן.</w:t>
      </w:r>
    </w:p>
    <w:p w:rsidR="00C63834" w:rsidRPr="00C63834" w:rsidRDefault="00C63834" w:rsidP="00C63834">
      <w:pPr>
        <w:pStyle w:val="ad"/>
        <w:rPr>
          <w:rFonts w:ascii="Arial" w:hAnsi="Arial"/>
          <w:noProof w:val="0"/>
          <w:rtl/>
        </w:rPr>
      </w:pPr>
    </w:p>
    <w:p w:rsidR="0007689A" w:rsidRDefault="0007689A" w:rsidP="007A4C01">
      <w:pPr>
        <w:pStyle w:val="ad"/>
        <w:numPr>
          <w:ilvl w:val="0"/>
          <w:numId w:val="1"/>
        </w:numPr>
        <w:spacing w:line="360" w:lineRule="auto"/>
        <w:jc w:val="both"/>
        <w:rPr>
          <w:rFonts w:ascii="Arial" w:hAnsi="Arial"/>
          <w:noProof w:val="0"/>
        </w:rPr>
      </w:pPr>
      <w:r>
        <w:rPr>
          <w:rFonts w:ascii="Arial" w:hAnsi="Arial" w:hint="cs"/>
          <w:noProof w:val="0"/>
          <w:rtl/>
        </w:rPr>
        <w:t xml:space="preserve">נתתי דעתי להליכים שהתבררו לפני בית הדין השרעי </w:t>
      </w:r>
      <w:r w:rsidR="00C63834">
        <w:rPr>
          <w:rFonts w:ascii="Arial" w:hAnsi="Arial" w:hint="cs"/>
          <w:noProof w:val="0"/>
          <w:rtl/>
        </w:rPr>
        <w:t>לעניין הקטינה, ומצאתי כי נפקותם</w:t>
      </w:r>
      <w:r>
        <w:rPr>
          <w:rFonts w:ascii="Arial" w:hAnsi="Arial" w:hint="cs"/>
          <w:noProof w:val="0"/>
          <w:rtl/>
        </w:rPr>
        <w:t xml:space="preserve"> וחשיבותם, היא הנותנת; </w:t>
      </w:r>
      <w:r w:rsidR="00713410">
        <w:rPr>
          <w:rFonts w:ascii="Arial" w:hAnsi="Arial" w:hint="cs"/>
          <w:noProof w:val="0"/>
          <w:rtl/>
        </w:rPr>
        <w:t>אין מחלוקת כי ב</w:t>
      </w:r>
      <w:r w:rsidR="00C63834">
        <w:rPr>
          <w:rFonts w:ascii="Arial" w:hAnsi="Arial" w:hint="cs"/>
          <w:noProof w:val="0"/>
          <w:rtl/>
        </w:rPr>
        <w:t xml:space="preserve">עניין הקטינה </w:t>
      </w:r>
      <w:r>
        <w:rPr>
          <w:rFonts w:ascii="Arial" w:hAnsi="Arial" w:hint="cs"/>
          <w:noProof w:val="0"/>
          <w:rtl/>
        </w:rPr>
        <w:t>התנהלו 3 הליכים לפני בית הדין השרעי, האחד בשנת 2017, השני בשנת 20/19 וה</w:t>
      </w:r>
      <w:r w:rsidR="00713410">
        <w:rPr>
          <w:rFonts w:ascii="Arial" w:hAnsi="Arial" w:hint="cs"/>
          <w:noProof w:val="0"/>
          <w:rtl/>
        </w:rPr>
        <w:t>שלישי בשנת 2023.  אכן, כטענת התובעת</w:t>
      </w:r>
      <w:r w:rsidR="00C63834">
        <w:rPr>
          <w:rFonts w:ascii="Arial" w:hAnsi="Arial" w:hint="cs"/>
          <w:noProof w:val="0"/>
          <w:rtl/>
        </w:rPr>
        <w:t>,</w:t>
      </w:r>
      <w:r>
        <w:rPr>
          <w:rFonts w:ascii="Arial" w:hAnsi="Arial" w:hint="cs"/>
          <w:noProof w:val="0"/>
          <w:rtl/>
        </w:rPr>
        <w:t xml:space="preserve"> להליך הראשון, לא הייתה צד. ואולם; עיון מדוקדק במסמכים </w:t>
      </w:r>
      <w:r w:rsidR="00C63834">
        <w:rPr>
          <w:rFonts w:ascii="Arial" w:hAnsi="Arial" w:hint="cs"/>
          <w:noProof w:val="0"/>
          <w:rtl/>
        </w:rPr>
        <w:t>ש</w:t>
      </w:r>
      <w:r>
        <w:rPr>
          <w:rFonts w:ascii="Arial" w:hAnsi="Arial" w:hint="cs"/>
          <w:noProof w:val="0"/>
          <w:rtl/>
        </w:rPr>
        <w:t>צורפו ואשר לגבי תוכם</w:t>
      </w:r>
      <w:r w:rsidR="00C63834">
        <w:rPr>
          <w:rFonts w:ascii="Arial" w:hAnsi="Arial" w:hint="cs"/>
          <w:noProof w:val="0"/>
          <w:rtl/>
        </w:rPr>
        <w:t xml:space="preserve"> אין מחלוקת, מלמד ש</w:t>
      </w:r>
      <w:r w:rsidR="00A0238A">
        <w:rPr>
          <w:rFonts w:ascii="Arial" w:hAnsi="Arial" w:hint="cs"/>
          <w:noProof w:val="0"/>
          <w:rtl/>
        </w:rPr>
        <w:t>במסגרת אותם הליכים, בית הדין</w:t>
      </w:r>
      <w:r w:rsidR="000A7719">
        <w:rPr>
          <w:rFonts w:ascii="Arial" w:hAnsi="Arial" w:hint="cs"/>
          <w:noProof w:val="0"/>
          <w:rtl/>
        </w:rPr>
        <w:t xml:space="preserve"> השרעי</w:t>
      </w:r>
      <w:r w:rsidR="00A0238A">
        <w:rPr>
          <w:rFonts w:ascii="Arial" w:hAnsi="Arial" w:hint="cs"/>
          <w:noProof w:val="0"/>
          <w:rtl/>
        </w:rPr>
        <w:t xml:space="preserve"> נתן דעתו לש</w:t>
      </w:r>
      <w:r w:rsidR="00C63834">
        <w:rPr>
          <w:rFonts w:ascii="Arial" w:hAnsi="Arial" w:hint="cs"/>
          <w:noProof w:val="0"/>
          <w:rtl/>
        </w:rPr>
        <w:t>א</w:t>
      </w:r>
      <w:r w:rsidR="00713410">
        <w:rPr>
          <w:rFonts w:ascii="Arial" w:hAnsi="Arial" w:hint="cs"/>
          <w:noProof w:val="0"/>
          <w:rtl/>
        </w:rPr>
        <w:t>לת זמני השהות של ה</w:t>
      </w:r>
      <w:r w:rsidR="000A7719">
        <w:rPr>
          <w:rFonts w:ascii="Arial" w:hAnsi="Arial" w:hint="cs"/>
          <w:noProof w:val="0"/>
          <w:rtl/>
        </w:rPr>
        <w:t>תובעת</w:t>
      </w:r>
      <w:r w:rsidR="00A0238A">
        <w:rPr>
          <w:rFonts w:ascii="Arial" w:hAnsi="Arial" w:hint="cs"/>
          <w:noProof w:val="0"/>
          <w:rtl/>
        </w:rPr>
        <w:t xml:space="preserve"> עם הקטינה ואלה נבחנו ע"י עו"ס לס"ד. משמע,</w:t>
      </w:r>
      <w:r w:rsidR="00713410">
        <w:rPr>
          <w:rFonts w:ascii="Arial" w:hAnsi="Arial" w:hint="cs"/>
          <w:noProof w:val="0"/>
          <w:rtl/>
        </w:rPr>
        <w:t xml:space="preserve"> התובעת</w:t>
      </w:r>
      <w:r w:rsidR="00C63834">
        <w:rPr>
          <w:rFonts w:ascii="Arial" w:hAnsi="Arial" w:hint="cs"/>
          <w:noProof w:val="0"/>
          <w:rtl/>
        </w:rPr>
        <w:t xml:space="preserve"> ידעה אודות</w:t>
      </w:r>
      <w:r w:rsidR="00A0238A">
        <w:rPr>
          <w:rFonts w:ascii="Arial" w:hAnsi="Arial" w:hint="cs"/>
          <w:noProof w:val="0"/>
          <w:rtl/>
        </w:rPr>
        <w:t xml:space="preserve"> </w:t>
      </w:r>
      <w:r w:rsidR="00C63834">
        <w:rPr>
          <w:rFonts w:ascii="Arial" w:hAnsi="Arial" w:hint="cs"/>
          <w:noProof w:val="0"/>
          <w:rtl/>
        </w:rPr>
        <w:t>ההליך</w:t>
      </w:r>
      <w:r w:rsidR="00A0238A">
        <w:rPr>
          <w:rFonts w:ascii="Arial" w:hAnsi="Arial" w:hint="cs"/>
          <w:noProof w:val="0"/>
          <w:rtl/>
        </w:rPr>
        <w:t xml:space="preserve">, וזמני השהות, נקבעו גם בידיעתה </w:t>
      </w:r>
      <w:r w:rsidR="00713410">
        <w:rPr>
          <w:rFonts w:ascii="Arial" w:hAnsi="Arial" w:hint="cs"/>
          <w:noProof w:val="0"/>
          <w:rtl/>
        </w:rPr>
        <w:t>ולאחר שבית הדין בחן את טובת הקטינה</w:t>
      </w:r>
      <w:r w:rsidR="00A0238A">
        <w:rPr>
          <w:rFonts w:ascii="Arial" w:hAnsi="Arial" w:hint="cs"/>
          <w:noProof w:val="0"/>
          <w:rtl/>
        </w:rPr>
        <w:t>(ראה נספח 3 לתגובת האב, פס"ד מיום 1.7.18)</w:t>
      </w:r>
      <w:r w:rsidR="00CC0458">
        <w:rPr>
          <w:rFonts w:ascii="Arial" w:hAnsi="Arial" w:hint="cs"/>
          <w:noProof w:val="0"/>
          <w:rtl/>
        </w:rPr>
        <w:t>.</w:t>
      </w:r>
    </w:p>
    <w:p w:rsidR="00A0238A" w:rsidRDefault="00A0238A" w:rsidP="00330823">
      <w:pPr>
        <w:pStyle w:val="ad"/>
        <w:numPr>
          <w:ilvl w:val="0"/>
          <w:numId w:val="1"/>
        </w:numPr>
        <w:spacing w:line="360" w:lineRule="auto"/>
        <w:jc w:val="both"/>
        <w:rPr>
          <w:rFonts w:ascii="Arial" w:hAnsi="Arial"/>
          <w:noProof w:val="0"/>
        </w:rPr>
      </w:pPr>
      <w:r w:rsidRPr="00A0238A">
        <w:rPr>
          <w:rFonts w:ascii="Arial" w:hAnsi="Arial" w:hint="cs"/>
          <w:noProof w:val="0"/>
          <w:rtl/>
        </w:rPr>
        <w:lastRenderedPageBreak/>
        <w:t>יתר על כן, בהליך השני</w:t>
      </w:r>
      <w:r w:rsidR="00CC0458">
        <w:rPr>
          <w:rFonts w:ascii="Arial" w:hAnsi="Arial" w:hint="cs"/>
          <w:noProof w:val="0"/>
          <w:rtl/>
        </w:rPr>
        <w:t>, בשנת 2019</w:t>
      </w:r>
      <w:r w:rsidRPr="00A0238A">
        <w:rPr>
          <w:rFonts w:ascii="Arial" w:hAnsi="Arial" w:hint="cs"/>
          <w:noProof w:val="0"/>
          <w:rtl/>
        </w:rPr>
        <w:t xml:space="preserve"> שעניינו שינוי מזמני השהות,</w:t>
      </w:r>
      <w:r w:rsidR="00CC0458">
        <w:rPr>
          <w:rFonts w:ascii="Arial" w:hAnsi="Arial" w:hint="cs"/>
          <w:noProof w:val="0"/>
          <w:rtl/>
        </w:rPr>
        <w:t xml:space="preserve"> בניגוד לנטען,</w:t>
      </w:r>
      <w:r w:rsidR="00713410">
        <w:rPr>
          <w:rFonts w:ascii="Arial" w:hAnsi="Arial" w:hint="cs"/>
          <w:noProof w:val="0"/>
          <w:rtl/>
        </w:rPr>
        <w:t xml:space="preserve"> התובעת</w:t>
      </w:r>
      <w:r w:rsidRPr="00A0238A">
        <w:rPr>
          <w:rFonts w:ascii="Arial" w:hAnsi="Arial" w:hint="cs"/>
          <w:noProof w:val="0"/>
          <w:rtl/>
        </w:rPr>
        <w:t xml:space="preserve"> הייתה צד</w:t>
      </w:r>
      <w:r w:rsidR="00CC0458">
        <w:rPr>
          <w:rFonts w:ascii="Arial" w:hAnsi="Arial" w:hint="cs"/>
          <w:noProof w:val="0"/>
          <w:rtl/>
        </w:rPr>
        <w:t>;</w:t>
      </w:r>
      <w:r w:rsidRPr="00A0238A">
        <w:rPr>
          <w:rFonts w:ascii="Arial" w:hAnsi="Arial" w:hint="cs"/>
          <w:noProof w:val="0"/>
          <w:rtl/>
        </w:rPr>
        <w:t xml:space="preserve"> ביום 7.7.19</w:t>
      </w:r>
      <w:r w:rsidR="00713410">
        <w:rPr>
          <w:rFonts w:ascii="Arial" w:hAnsi="Arial" w:hint="cs"/>
          <w:noProof w:val="0"/>
          <w:rtl/>
        </w:rPr>
        <w:t xml:space="preserve"> התקיים דיון אליו לא התייצבה (ראה נספח 4 לבקשת הנתבע</w:t>
      </w:r>
      <w:r w:rsidRPr="00A0238A">
        <w:rPr>
          <w:rFonts w:ascii="Arial" w:hAnsi="Arial" w:hint="cs"/>
          <w:noProof w:val="0"/>
          <w:rtl/>
        </w:rPr>
        <w:t xml:space="preserve">), ובהמשך לאותו דיון עו"ס לס"ד נתבקשה לגבש המלצותיה. ביום </w:t>
      </w:r>
      <w:r w:rsidR="00C63834">
        <w:rPr>
          <w:rFonts w:ascii="Arial" w:hAnsi="Arial" w:hint="cs"/>
          <w:noProof w:val="0"/>
          <w:rtl/>
        </w:rPr>
        <w:t>26.11.19</w:t>
      </w:r>
      <w:r w:rsidRPr="00A0238A">
        <w:rPr>
          <w:rFonts w:ascii="Arial" w:hAnsi="Arial" w:hint="cs"/>
          <w:noProof w:val="0"/>
          <w:rtl/>
        </w:rPr>
        <w:t xml:space="preserve"> ו</w:t>
      </w:r>
      <w:r>
        <w:rPr>
          <w:rFonts w:ascii="Arial" w:hAnsi="Arial" w:hint="cs"/>
          <w:noProof w:val="0"/>
          <w:rtl/>
        </w:rPr>
        <w:t>ל</w:t>
      </w:r>
      <w:r w:rsidRPr="00A0238A">
        <w:rPr>
          <w:rFonts w:ascii="Arial" w:hAnsi="Arial" w:hint="cs"/>
          <w:noProof w:val="0"/>
          <w:rtl/>
        </w:rPr>
        <w:t>אחר</w:t>
      </w:r>
      <w:r>
        <w:rPr>
          <w:rFonts w:ascii="Arial" w:hAnsi="Arial" w:hint="cs"/>
          <w:noProof w:val="0"/>
          <w:rtl/>
        </w:rPr>
        <w:t xml:space="preserve"> שהוגשו המלצות העו"ס התקיים דיון בנוכחות העו"ס, מסגרתו פירט</w:t>
      </w:r>
      <w:r w:rsidR="00713410">
        <w:rPr>
          <w:rFonts w:ascii="Arial" w:hAnsi="Arial" w:hint="cs"/>
          <w:noProof w:val="0"/>
          <w:rtl/>
        </w:rPr>
        <w:t>ה את היעדר שיתוף הפעולה עם התובעת</w:t>
      </w:r>
      <w:r>
        <w:rPr>
          <w:rFonts w:ascii="Arial" w:hAnsi="Arial" w:hint="cs"/>
          <w:noProof w:val="0"/>
          <w:rtl/>
        </w:rPr>
        <w:t xml:space="preserve">. </w:t>
      </w:r>
      <w:r w:rsidR="00CC0458">
        <w:rPr>
          <w:rFonts w:ascii="Arial" w:hAnsi="Arial" w:hint="cs"/>
          <w:noProof w:val="0"/>
          <w:rtl/>
        </w:rPr>
        <w:t xml:space="preserve"> באותו הדיון ניתנה החלטת בית הדין ולפיה </w:t>
      </w:r>
      <w:r w:rsidR="00C63834">
        <w:rPr>
          <w:rFonts w:ascii="Arial" w:hAnsi="Arial" w:hint="cs"/>
          <w:noProof w:val="0"/>
          <w:rtl/>
        </w:rPr>
        <w:t>נקבע</w:t>
      </w:r>
      <w:r w:rsidR="00713410">
        <w:rPr>
          <w:rFonts w:ascii="Arial" w:hAnsi="Arial" w:hint="cs"/>
          <w:noProof w:val="0"/>
          <w:rtl/>
        </w:rPr>
        <w:t>ו</w:t>
      </w:r>
      <w:r w:rsidR="00CC0458">
        <w:rPr>
          <w:rFonts w:ascii="Arial" w:hAnsi="Arial" w:hint="cs"/>
          <w:noProof w:val="0"/>
          <w:rtl/>
        </w:rPr>
        <w:t xml:space="preserve"> </w:t>
      </w:r>
      <w:r w:rsidR="00713410">
        <w:rPr>
          <w:rFonts w:ascii="Arial" w:hAnsi="Arial" w:hint="cs"/>
          <w:noProof w:val="0"/>
          <w:rtl/>
        </w:rPr>
        <w:t xml:space="preserve">זמני השהות של הקטינה עם התובעת </w:t>
      </w:r>
      <w:r w:rsidR="00CC0458">
        <w:rPr>
          <w:rFonts w:ascii="Arial" w:hAnsi="Arial" w:hint="cs"/>
          <w:noProof w:val="0"/>
          <w:rtl/>
        </w:rPr>
        <w:t xml:space="preserve"> יתקיימו במרכז הקשר. </w:t>
      </w:r>
    </w:p>
    <w:p w:rsidR="00C63834" w:rsidRDefault="00C63834" w:rsidP="000A7719">
      <w:pPr>
        <w:pStyle w:val="ad"/>
        <w:ind w:left="360"/>
        <w:jc w:val="both"/>
        <w:rPr>
          <w:rFonts w:ascii="Arial" w:hAnsi="Arial"/>
          <w:noProof w:val="0"/>
        </w:rPr>
      </w:pPr>
    </w:p>
    <w:p w:rsidR="00A0238A" w:rsidRDefault="00CC0458" w:rsidP="00713410">
      <w:pPr>
        <w:pStyle w:val="ad"/>
        <w:numPr>
          <w:ilvl w:val="0"/>
          <w:numId w:val="1"/>
        </w:numPr>
        <w:spacing w:line="360" w:lineRule="auto"/>
        <w:jc w:val="both"/>
        <w:rPr>
          <w:rFonts w:ascii="Arial" w:hAnsi="Arial"/>
          <w:noProof w:val="0"/>
        </w:rPr>
      </w:pPr>
      <w:r>
        <w:rPr>
          <w:rFonts w:ascii="Arial" w:hAnsi="Arial" w:hint="cs"/>
          <w:noProof w:val="0"/>
          <w:rtl/>
        </w:rPr>
        <w:t>לאחר מכן, בשנת 2023  התברר</w:t>
      </w:r>
      <w:r w:rsidR="00713410">
        <w:rPr>
          <w:rFonts w:ascii="Arial" w:hAnsi="Arial" w:hint="cs"/>
          <w:noProof w:val="0"/>
          <w:rtl/>
        </w:rPr>
        <w:t xml:space="preserve"> הליך נוסף לפני בית הדין, בשאלת האפוטרופסות של הקטינה לו התובעת</w:t>
      </w:r>
      <w:r>
        <w:rPr>
          <w:rFonts w:ascii="Arial" w:hAnsi="Arial" w:hint="cs"/>
          <w:noProof w:val="0"/>
          <w:rtl/>
        </w:rPr>
        <w:t xml:space="preserve"> לא הייתה צד. </w:t>
      </w:r>
    </w:p>
    <w:p w:rsidR="00C63834" w:rsidRPr="00C63834" w:rsidRDefault="00C63834" w:rsidP="000A7719">
      <w:pPr>
        <w:pStyle w:val="ad"/>
        <w:rPr>
          <w:rFonts w:ascii="Arial" w:hAnsi="Arial"/>
          <w:noProof w:val="0"/>
          <w:rtl/>
        </w:rPr>
      </w:pPr>
    </w:p>
    <w:p w:rsidR="00A0238A" w:rsidRDefault="00CC0458" w:rsidP="00330823">
      <w:pPr>
        <w:pStyle w:val="ad"/>
        <w:numPr>
          <w:ilvl w:val="0"/>
          <w:numId w:val="1"/>
        </w:numPr>
        <w:spacing w:line="360" w:lineRule="auto"/>
        <w:jc w:val="both"/>
        <w:rPr>
          <w:rFonts w:ascii="Arial" w:hAnsi="Arial"/>
          <w:noProof w:val="0"/>
        </w:rPr>
      </w:pPr>
      <w:r>
        <w:rPr>
          <w:rFonts w:ascii="Arial" w:hAnsi="Arial" w:hint="cs"/>
          <w:noProof w:val="0"/>
          <w:rtl/>
        </w:rPr>
        <w:t>עיון בטענו</w:t>
      </w:r>
      <w:r w:rsidR="00713410">
        <w:rPr>
          <w:rFonts w:ascii="Arial" w:hAnsi="Arial" w:hint="cs"/>
          <w:noProof w:val="0"/>
          <w:rtl/>
        </w:rPr>
        <w:t>ת התובעת</w:t>
      </w:r>
      <w:r w:rsidR="00C63834">
        <w:rPr>
          <w:rFonts w:ascii="Arial" w:hAnsi="Arial" w:hint="cs"/>
          <w:noProof w:val="0"/>
          <w:rtl/>
        </w:rPr>
        <w:t xml:space="preserve"> במסגרת כתב תביעתה מלמד ש</w:t>
      </w:r>
      <w:r>
        <w:rPr>
          <w:rFonts w:ascii="Arial" w:hAnsi="Arial" w:hint="cs"/>
          <w:noProof w:val="0"/>
          <w:rtl/>
        </w:rPr>
        <w:t xml:space="preserve">אף היא בעצמה טוענת לעניין ההליכים הקודמים לפני בית הדין השרעי, ובכלל זה לזמני השהות </w:t>
      </w:r>
      <w:r w:rsidR="00C63834">
        <w:rPr>
          <w:rFonts w:ascii="Arial" w:hAnsi="Arial" w:hint="cs"/>
          <w:noProof w:val="0"/>
          <w:rtl/>
        </w:rPr>
        <w:t>ש</w:t>
      </w:r>
      <w:r>
        <w:rPr>
          <w:rFonts w:ascii="Arial" w:hAnsi="Arial" w:hint="cs"/>
          <w:noProof w:val="0"/>
          <w:rtl/>
        </w:rPr>
        <w:t>לה עם הקטינה (ראה בין היתר ס</w:t>
      </w:r>
      <w:r w:rsidR="00C63834">
        <w:rPr>
          <w:rFonts w:ascii="Arial" w:hAnsi="Arial" w:hint="cs"/>
          <w:noProof w:val="0"/>
          <w:rtl/>
        </w:rPr>
        <w:t>ע</w:t>
      </w:r>
      <w:r>
        <w:rPr>
          <w:rFonts w:ascii="Arial" w:hAnsi="Arial" w:hint="cs"/>
          <w:noProof w:val="0"/>
          <w:rtl/>
        </w:rPr>
        <w:t>יף 6,10,11,15)</w:t>
      </w:r>
      <w:r w:rsidR="00C63834">
        <w:rPr>
          <w:rFonts w:ascii="Arial" w:hAnsi="Arial" w:hint="cs"/>
          <w:noProof w:val="0"/>
          <w:rtl/>
        </w:rPr>
        <w:t xml:space="preserve">  וכן </w:t>
      </w:r>
      <w:r>
        <w:rPr>
          <w:rFonts w:ascii="Arial" w:hAnsi="Arial" w:hint="cs"/>
          <w:noProof w:val="0"/>
          <w:rtl/>
        </w:rPr>
        <w:t xml:space="preserve"> לעניין פס"ד האחרון שניתן בשנת 2023 לעניין מגוריי הקטינה בבית הסבתא בנוכחות האב. </w:t>
      </w:r>
    </w:p>
    <w:p w:rsidR="00C63834" w:rsidRPr="00C63834" w:rsidRDefault="00C63834" w:rsidP="00C63834">
      <w:pPr>
        <w:pStyle w:val="ad"/>
        <w:rPr>
          <w:rFonts w:ascii="Arial" w:hAnsi="Arial"/>
          <w:noProof w:val="0"/>
          <w:rtl/>
        </w:rPr>
      </w:pPr>
    </w:p>
    <w:p w:rsidR="00C70A14" w:rsidRDefault="00CC0458" w:rsidP="00713410">
      <w:pPr>
        <w:pStyle w:val="ad"/>
        <w:numPr>
          <w:ilvl w:val="0"/>
          <w:numId w:val="1"/>
        </w:numPr>
        <w:spacing w:line="360" w:lineRule="auto"/>
        <w:jc w:val="both"/>
        <w:rPr>
          <w:rFonts w:ascii="Arial" w:hAnsi="Arial"/>
          <w:noProof w:val="0"/>
        </w:rPr>
      </w:pPr>
      <w:r>
        <w:rPr>
          <w:rFonts w:ascii="Arial" w:hAnsi="Arial" w:hint="cs"/>
          <w:noProof w:val="0"/>
          <w:rtl/>
        </w:rPr>
        <w:t>דומה שלא יכולה להיות מחלוקת, כי ההליך לפניי הינו המשך להליכים הקודמים אשר התבררו לפני בית הדין  השר</w:t>
      </w:r>
      <w:r w:rsidR="00C70A14">
        <w:rPr>
          <w:rFonts w:ascii="Arial" w:hAnsi="Arial" w:hint="cs"/>
          <w:noProof w:val="0"/>
          <w:rtl/>
        </w:rPr>
        <w:t>עי לעניין הקטינה.  גם ככל והייתי מקבלת טענת</w:t>
      </w:r>
      <w:r w:rsidR="001B7935">
        <w:rPr>
          <w:rFonts w:ascii="Arial" w:hAnsi="Arial" w:hint="cs"/>
          <w:noProof w:val="0"/>
          <w:rtl/>
        </w:rPr>
        <w:t xml:space="preserve"> </w:t>
      </w:r>
      <w:r w:rsidR="00C70A14">
        <w:rPr>
          <w:rFonts w:ascii="Arial" w:hAnsi="Arial" w:hint="cs"/>
          <w:noProof w:val="0"/>
          <w:rtl/>
        </w:rPr>
        <w:t>ה</w:t>
      </w:r>
      <w:r w:rsidR="000A7719">
        <w:rPr>
          <w:rFonts w:ascii="Arial" w:hAnsi="Arial" w:hint="cs"/>
          <w:noProof w:val="0"/>
          <w:rtl/>
        </w:rPr>
        <w:t>תובעת</w:t>
      </w:r>
      <w:r w:rsidR="001B7935">
        <w:rPr>
          <w:rFonts w:ascii="Arial" w:hAnsi="Arial" w:hint="cs"/>
          <w:noProof w:val="0"/>
          <w:rtl/>
        </w:rPr>
        <w:t xml:space="preserve"> לפיה לא נטלה</w:t>
      </w:r>
      <w:r w:rsidR="00C70A14">
        <w:rPr>
          <w:rFonts w:ascii="Arial" w:hAnsi="Arial" w:hint="cs"/>
          <w:noProof w:val="0"/>
          <w:rtl/>
        </w:rPr>
        <w:t xml:space="preserve"> חלק</w:t>
      </w:r>
      <w:r w:rsidR="001B7935">
        <w:rPr>
          <w:rFonts w:ascii="Arial" w:hAnsi="Arial" w:hint="cs"/>
          <w:noProof w:val="0"/>
          <w:rtl/>
        </w:rPr>
        <w:t xml:space="preserve"> בהליכים, ואין כך פני הדברים כמפורט לעיל, </w:t>
      </w:r>
      <w:r w:rsidR="00C70A14">
        <w:rPr>
          <w:rFonts w:ascii="Arial" w:hAnsi="Arial" w:hint="cs"/>
          <w:noProof w:val="0"/>
          <w:rtl/>
        </w:rPr>
        <w:t xml:space="preserve">הרי </w:t>
      </w:r>
      <w:r w:rsidR="00713410">
        <w:rPr>
          <w:rFonts w:ascii="Arial" w:hAnsi="Arial" w:hint="cs"/>
          <w:noProof w:val="0"/>
          <w:rtl/>
        </w:rPr>
        <w:t>ש</w:t>
      </w:r>
      <w:r w:rsidR="001B7935">
        <w:rPr>
          <w:rFonts w:ascii="Arial" w:hAnsi="Arial" w:hint="cs"/>
          <w:noProof w:val="0"/>
          <w:rtl/>
        </w:rPr>
        <w:t>המבחן הקובע הינו הסעדים במסגרת אותו דיון, היקף הבירור שנעשה</w:t>
      </w:r>
      <w:r w:rsidR="00C70A14">
        <w:rPr>
          <w:rFonts w:ascii="Arial" w:hAnsi="Arial" w:hint="cs"/>
          <w:noProof w:val="0"/>
          <w:rtl/>
        </w:rPr>
        <w:t xml:space="preserve"> ומשמעותו בשאלת הקטינה</w:t>
      </w:r>
      <w:r w:rsidR="001B7935">
        <w:rPr>
          <w:rFonts w:ascii="Arial" w:hAnsi="Arial" w:hint="cs"/>
          <w:noProof w:val="0"/>
          <w:rtl/>
        </w:rPr>
        <w:t xml:space="preserve"> והקשר שלו להליך לפניי</w:t>
      </w:r>
      <w:r w:rsidR="00C70A14">
        <w:rPr>
          <w:rFonts w:ascii="Arial" w:hAnsi="Arial" w:hint="cs"/>
          <w:noProof w:val="0"/>
          <w:rtl/>
        </w:rPr>
        <w:t>.</w:t>
      </w:r>
      <w:r w:rsidR="001B7935">
        <w:rPr>
          <w:rFonts w:ascii="Arial" w:hAnsi="Arial" w:hint="cs"/>
          <w:noProof w:val="0"/>
          <w:rtl/>
        </w:rPr>
        <w:t xml:space="preserve"> בבחינת כל אלה,</w:t>
      </w:r>
      <w:r w:rsidR="00C70A14">
        <w:rPr>
          <w:rFonts w:ascii="Arial" w:hAnsi="Arial" w:hint="cs"/>
          <w:noProof w:val="0"/>
          <w:rtl/>
        </w:rPr>
        <w:t xml:space="preserve"> ולמצער ביחס לשני ההליכים הראשונים, אין חולק שבית הדין השרעי בירר את טענות הצדדים, מינה עו"ס, </w:t>
      </w:r>
      <w:r w:rsidR="001B7935">
        <w:rPr>
          <w:rFonts w:ascii="Arial" w:hAnsi="Arial" w:hint="cs"/>
          <w:noProof w:val="0"/>
          <w:rtl/>
        </w:rPr>
        <w:t>שמע את הע</w:t>
      </w:r>
      <w:r w:rsidR="00A64AC5">
        <w:rPr>
          <w:rFonts w:ascii="Arial" w:hAnsi="Arial" w:hint="cs"/>
          <w:noProof w:val="0"/>
          <w:rtl/>
        </w:rPr>
        <w:t>ו</w:t>
      </w:r>
      <w:r w:rsidR="001B7935">
        <w:rPr>
          <w:rFonts w:ascii="Arial" w:hAnsi="Arial" w:hint="cs"/>
          <w:noProof w:val="0"/>
          <w:rtl/>
        </w:rPr>
        <w:t xml:space="preserve">"ס </w:t>
      </w:r>
      <w:r w:rsidR="00C70A14">
        <w:rPr>
          <w:rFonts w:ascii="Arial" w:hAnsi="Arial" w:hint="cs"/>
          <w:noProof w:val="0"/>
          <w:rtl/>
        </w:rPr>
        <w:t>וגיבש החלטותיו לאחר שהונחה לפניו התמונה במלואה.</w:t>
      </w:r>
    </w:p>
    <w:p w:rsidR="00A76842" w:rsidRPr="00A76842" w:rsidRDefault="00A76842" w:rsidP="00A76842">
      <w:pPr>
        <w:pStyle w:val="ad"/>
        <w:rPr>
          <w:rFonts w:ascii="Arial" w:hAnsi="Arial"/>
          <w:noProof w:val="0"/>
          <w:rtl/>
        </w:rPr>
      </w:pPr>
    </w:p>
    <w:p w:rsidR="00A76842" w:rsidRPr="0030642F" w:rsidRDefault="00A76842" w:rsidP="00A76842">
      <w:pPr>
        <w:pStyle w:val="ad"/>
        <w:numPr>
          <w:ilvl w:val="0"/>
          <w:numId w:val="1"/>
        </w:numPr>
        <w:spacing w:line="360" w:lineRule="auto"/>
        <w:jc w:val="both"/>
        <w:rPr>
          <w:rFonts w:ascii="David" w:hAnsi="David"/>
          <w:noProof w:val="0"/>
          <w:rtl/>
        </w:rPr>
      </w:pPr>
      <w:r w:rsidRPr="0030642F">
        <w:rPr>
          <w:rFonts w:ascii="David" w:hAnsi="David"/>
          <w:noProof w:val="0"/>
          <w:rtl/>
        </w:rPr>
        <w:t>שאלת רכישת הסמכות הנמשכת נדונה</w:t>
      </w:r>
      <w:r w:rsidRPr="0030642F">
        <w:rPr>
          <w:rFonts w:ascii="David" w:hAnsi="David"/>
          <w:rtl/>
          <w:lang w:eastAsia="he-IL"/>
        </w:rPr>
        <w:t xml:space="preserve"> בבג"צ 7298/14 </w:t>
      </w:r>
      <w:r w:rsidRPr="0030642F">
        <w:rPr>
          <w:rFonts w:ascii="David" w:hAnsi="David"/>
          <w:b/>
          <w:bCs/>
          <w:rtl/>
          <w:lang w:eastAsia="he-IL"/>
        </w:rPr>
        <w:t>פלונית נ' בית הדין השרעי לערעורים בירושלים</w:t>
      </w:r>
      <w:r w:rsidRPr="0030642F">
        <w:rPr>
          <w:rFonts w:ascii="David" w:hAnsi="David"/>
          <w:rtl/>
          <w:lang w:eastAsia="he-IL"/>
        </w:rPr>
        <w:t xml:space="preserve"> [פורסם בנבו] (15.5.2016), שם נפסק, שעל מנת שערכאה שיפוטית תרכוש סמכות לשוב ולדון בסוגיה שנדונה על ידה בעבר, מכוח עקרון הסמכות הנמשכת, צריכים להתקיים שני התנאים: </w:t>
      </w:r>
      <w:r w:rsidRPr="0030642F">
        <w:rPr>
          <w:rFonts w:ascii="David" w:hAnsi="David"/>
          <w:u w:val="single"/>
          <w:rtl/>
          <w:lang w:eastAsia="he-IL"/>
        </w:rPr>
        <w:t>האחד</w:t>
      </w:r>
      <w:r w:rsidRPr="0030642F">
        <w:rPr>
          <w:rFonts w:ascii="David" w:hAnsi="David"/>
          <w:rtl/>
          <w:lang w:eastAsia="he-IL"/>
        </w:rPr>
        <w:t xml:space="preserve">, כי ההחלטה המקורית ניתנה לאחר שנערך דיון משפטי מקיף שממנו נגזרו הממצאים והמסקנות; </w:t>
      </w:r>
      <w:r w:rsidRPr="0030642F">
        <w:rPr>
          <w:rFonts w:ascii="David" w:hAnsi="David"/>
          <w:u w:val="single"/>
          <w:rtl/>
          <w:lang w:eastAsia="he-IL"/>
        </w:rPr>
        <w:t>השני</w:t>
      </w:r>
      <w:r w:rsidRPr="0030642F">
        <w:rPr>
          <w:rFonts w:ascii="David" w:hAnsi="David"/>
          <w:rtl/>
          <w:lang w:eastAsia="he-IL"/>
        </w:rPr>
        <w:t xml:space="preserve">, כי הסוגיה המאוחרת קרובה במידה מספקת לסוגיה המקורית עד כדי כך שהיא ממשיכה אותה ומהווה חלק בלתי נפרד הימנה. </w:t>
      </w:r>
      <w:r w:rsidRPr="0030642F">
        <w:rPr>
          <w:rFonts w:ascii="David" w:hAnsi="David"/>
          <w:noProof w:val="0"/>
          <w:rtl/>
        </w:rPr>
        <w:t xml:space="preserve">וכך נקבע: </w:t>
      </w:r>
    </w:p>
    <w:p w:rsidR="00A76842" w:rsidRPr="0030642F" w:rsidRDefault="00A76842" w:rsidP="00A76842">
      <w:pPr>
        <w:spacing w:line="360" w:lineRule="auto"/>
        <w:ind w:left="1134" w:right="1134"/>
        <w:jc w:val="both"/>
        <w:rPr>
          <w:rFonts w:ascii="David" w:hAnsi="David"/>
          <w:b/>
          <w:bCs/>
          <w:spacing w:val="10"/>
          <w:rtl/>
          <w:lang w:eastAsia="he-IL"/>
        </w:rPr>
      </w:pPr>
      <w:r w:rsidRPr="0030642F">
        <w:rPr>
          <w:rFonts w:ascii="David" w:hAnsi="David"/>
          <w:b/>
          <w:bCs/>
          <w:rtl/>
          <w:lang w:eastAsia="he-IL"/>
        </w:rPr>
        <w:t>"</w:t>
      </w:r>
      <w:r w:rsidRPr="0030642F">
        <w:rPr>
          <w:rFonts w:ascii="David" w:hAnsi="David"/>
          <w:b/>
          <w:bCs/>
          <w:spacing w:val="10"/>
          <w:rtl/>
          <w:lang w:eastAsia="he-IL"/>
        </w:rPr>
        <w:t xml:space="preserve">על מנת שערכאה שיפוטית תרכוש סמכות לשוב ולדון בסוגיה שנדונה על ידה בעבר, מכוח עקרון הסמכות הנמשכת, נדרשים קיומם של שני תנאים..."התנאי הראשון הוא, כי ההחלטה המקורית ניתנה לאחר בירור ושקילה. עליה לשקף הליך של דיון משפטי, שבמהלכו נשמעו או הוגשו טיעוני הצדדים, נקבעו ממצאים ונתקבלו הכרעות.... על כן ברור, ראשית, כי סוגיה מאוחרת שכלל לא נדונה בערכאה המקורית וממילא לא הוכרעה, לא תקים סמכות נמשכת לאותה ערכאה ואפילו היא קשורה </w:t>
      </w:r>
      <w:r w:rsidRPr="0030642F">
        <w:rPr>
          <w:rFonts w:ascii="David" w:hAnsi="David"/>
          <w:b/>
          <w:bCs/>
          <w:spacing w:val="10"/>
          <w:rtl/>
          <w:lang w:eastAsia="he-IL"/>
        </w:rPr>
        <w:lastRenderedPageBreak/>
        <w:t>לעניינים אחרים, שכן נדונו...ההלכה הפסוקה הגדירה תנאי זה כדרישה לפיה בית המשפט או בית הדין, שהסוגיה הונחה לפתחו, "</w:t>
      </w:r>
      <w:r w:rsidRPr="0030642F">
        <w:rPr>
          <w:rFonts w:ascii="David" w:hAnsi="David"/>
          <w:b/>
          <w:bCs/>
          <w:rtl/>
          <w:lang w:eastAsia="he-IL"/>
        </w:rPr>
        <w:t>דן ופסק</w:t>
      </w:r>
      <w:r w:rsidRPr="0030642F">
        <w:rPr>
          <w:rFonts w:ascii="David" w:hAnsi="David"/>
          <w:b/>
          <w:bCs/>
          <w:spacing w:val="10"/>
          <w:rtl/>
          <w:lang w:eastAsia="he-IL"/>
        </w:rPr>
        <w:t>" ...</w:t>
      </w:r>
    </w:p>
    <w:p w:rsidR="00A76842" w:rsidRPr="0030642F" w:rsidRDefault="00A76842" w:rsidP="00A76842">
      <w:pPr>
        <w:spacing w:line="360" w:lineRule="auto"/>
        <w:ind w:left="1134" w:right="1134"/>
        <w:jc w:val="both"/>
        <w:rPr>
          <w:rFonts w:ascii="David" w:hAnsi="David"/>
          <w:b/>
          <w:bCs/>
          <w:lang w:eastAsia="he-IL"/>
        </w:rPr>
      </w:pPr>
      <w:r w:rsidRPr="0030642F">
        <w:rPr>
          <w:rFonts w:ascii="David" w:hAnsi="David"/>
          <w:b/>
          <w:bCs/>
          <w:spacing w:val="10"/>
          <w:rtl/>
          <w:lang w:eastAsia="he-IL"/>
        </w:rPr>
        <w:t xml:space="preserve"> התנאי השני להכרה בקיומה של סמכות נמשכת הוא שהסוגיה המאוחרת קרובה במידה מספקת לזו המקורית, עד כי נשמר צביונו המתמשך של העניין, שהוא המצדיק שיבה אל הערכאה אשר בראשונה [...] גם לענין זה יפה מבחן הסיכול, שכן החשש מפני סיכולה של ההכרעה המקורית או של רוחה מצטמצם ככל שגדֵל המרחק בינה לבין הסוגיה החדשה שעל הפרק.[...] אותו ריחוק יכול שיתבטא, בין השאר, בתוכנה של המחלוקת; בזהותם של בעלי-הדין [..]; בפער זמנים שנתגלע; ואפילו במרחק גיאוגרפי..." </w:t>
      </w:r>
    </w:p>
    <w:p w:rsidR="00A76842" w:rsidRPr="00A76842" w:rsidRDefault="00A76842" w:rsidP="00A76842">
      <w:pPr>
        <w:pStyle w:val="ad"/>
        <w:rPr>
          <w:rFonts w:ascii="Arial" w:hAnsi="Arial"/>
          <w:noProof w:val="0"/>
          <w:rtl/>
        </w:rPr>
      </w:pPr>
    </w:p>
    <w:p w:rsidR="001B7935" w:rsidRDefault="0030642F" w:rsidP="00EC5273">
      <w:pPr>
        <w:pStyle w:val="ad"/>
        <w:numPr>
          <w:ilvl w:val="0"/>
          <w:numId w:val="1"/>
        </w:numPr>
        <w:spacing w:line="360" w:lineRule="auto"/>
        <w:jc w:val="both"/>
        <w:rPr>
          <w:rFonts w:ascii="Arial" w:hAnsi="Arial"/>
          <w:noProof w:val="0"/>
        </w:rPr>
      </w:pPr>
      <w:r w:rsidRPr="0030642F">
        <w:rPr>
          <w:rFonts w:ascii="Arial" w:hAnsi="Arial" w:hint="cs"/>
          <w:noProof w:val="0"/>
          <w:rtl/>
        </w:rPr>
        <w:t xml:space="preserve">בעניינו, </w:t>
      </w:r>
      <w:r w:rsidR="001B7935" w:rsidRPr="0030642F">
        <w:rPr>
          <w:rFonts w:ascii="Arial" w:hAnsi="Arial" w:hint="cs"/>
          <w:noProof w:val="0"/>
          <w:rtl/>
        </w:rPr>
        <w:t>התרשמתי</w:t>
      </w:r>
      <w:r w:rsidR="00C70A14" w:rsidRPr="0030642F">
        <w:rPr>
          <w:rFonts w:ascii="Arial" w:hAnsi="Arial" w:hint="cs"/>
          <w:noProof w:val="0"/>
          <w:rtl/>
        </w:rPr>
        <w:t xml:space="preserve"> כי לעניין ההליך לפני התקיימו כלל התנאים הקבועים בפסיקה המקנים לבית הדין השרעי את הסמכות</w:t>
      </w:r>
      <w:r w:rsidR="000A7719">
        <w:rPr>
          <w:rFonts w:ascii="Arial" w:hAnsi="Arial" w:hint="cs"/>
          <w:noProof w:val="0"/>
          <w:rtl/>
        </w:rPr>
        <w:t xml:space="preserve"> הנמשכת</w:t>
      </w:r>
      <w:r w:rsidR="00C70A14" w:rsidRPr="0030642F">
        <w:rPr>
          <w:rFonts w:ascii="Arial" w:hAnsi="Arial" w:hint="cs"/>
          <w:noProof w:val="0"/>
          <w:rtl/>
        </w:rPr>
        <w:t xml:space="preserve"> לדון בהליך, ובכלל זה </w:t>
      </w:r>
      <w:r w:rsidR="001B7935" w:rsidRPr="0030642F">
        <w:rPr>
          <w:rFonts w:ascii="Arial" w:hAnsi="Arial" w:hint="cs"/>
          <w:noProof w:val="0"/>
          <w:rtl/>
        </w:rPr>
        <w:t>ש</w:t>
      </w:r>
      <w:r w:rsidR="00C70A14" w:rsidRPr="0030642F">
        <w:rPr>
          <w:rFonts w:ascii="Arial" w:hAnsi="Arial" w:hint="cs"/>
          <w:noProof w:val="0"/>
          <w:rtl/>
        </w:rPr>
        <w:t xml:space="preserve">המחלוקת לפניי קרובה לסוגייה שנדונה </w:t>
      </w:r>
      <w:r w:rsidRPr="0030642F">
        <w:rPr>
          <w:rFonts w:ascii="Arial" w:hAnsi="Arial" w:hint="cs"/>
          <w:noProof w:val="0"/>
          <w:rtl/>
        </w:rPr>
        <w:t xml:space="preserve"> והוכרעה </w:t>
      </w:r>
      <w:r w:rsidR="00C70A14" w:rsidRPr="0030642F">
        <w:rPr>
          <w:rFonts w:ascii="Arial" w:hAnsi="Arial" w:hint="cs"/>
          <w:noProof w:val="0"/>
          <w:rtl/>
        </w:rPr>
        <w:t>לפני בית דין השרעי, כמו גם שאין בחלוף הזמן בכ</w:t>
      </w:r>
      <w:r w:rsidR="00AC5F57">
        <w:rPr>
          <w:rFonts w:ascii="Arial" w:hAnsi="Arial" w:hint="cs"/>
          <w:noProof w:val="0"/>
          <w:rtl/>
        </w:rPr>
        <w:t xml:space="preserve">די לנתק את הקשר בין הסוגיות, ועל כן היה על התובעת להגישה לפני בית הדין. </w:t>
      </w:r>
    </w:p>
    <w:p w:rsidR="00E80411" w:rsidRDefault="00E80411" w:rsidP="000A7719">
      <w:pPr>
        <w:pStyle w:val="ad"/>
        <w:ind w:left="360"/>
        <w:jc w:val="both"/>
        <w:rPr>
          <w:rFonts w:ascii="Arial" w:hAnsi="Arial"/>
          <w:noProof w:val="0"/>
        </w:rPr>
      </w:pPr>
    </w:p>
    <w:p w:rsidR="0030642F" w:rsidRDefault="0030642F" w:rsidP="00EC5273">
      <w:pPr>
        <w:pStyle w:val="ad"/>
        <w:numPr>
          <w:ilvl w:val="0"/>
          <w:numId w:val="1"/>
        </w:numPr>
        <w:spacing w:line="360" w:lineRule="auto"/>
        <w:jc w:val="both"/>
        <w:rPr>
          <w:rFonts w:ascii="Arial" w:hAnsi="Arial"/>
          <w:noProof w:val="0"/>
        </w:rPr>
      </w:pPr>
      <w:r w:rsidRPr="000A7719">
        <w:rPr>
          <w:rFonts w:ascii="Arial" w:hAnsi="Arial" w:hint="cs"/>
          <w:b/>
          <w:bCs/>
          <w:noProof w:val="0"/>
          <w:u w:val="single"/>
          <w:rtl/>
        </w:rPr>
        <w:t>וחרף זאת,</w:t>
      </w:r>
      <w:r>
        <w:rPr>
          <w:rFonts w:ascii="Arial" w:hAnsi="Arial" w:hint="cs"/>
          <w:noProof w:val="0"/>
          <w:rtl/>
        </w:rPr>
        <w:t xml:space="preserve"> מצאתי כאמור לקבל את הבקשה וזאת לאחר שהתרשמתי כי הנתבע הסכים לניהול ההליך לפני בית המשפט כאן, תוך שבקשתו הו</w:t>
      </w:r>
      <w:r w:rsidR="005B0430">
        <w:rPr>
          <w:rFonts w:ascii="Arial" w:hAnsi="Arial" w:hint="cs"/>
          <w:noProof w:val="0"/>
          <w:rtl/>
        </w:rPr>
        <w:t xml:space="preserve">גשה בשיהוי ניכר, המביא </w:t>
      </w:r>
      <w:r>
        <w:rPr>
          <w:rFonts w:ascii="Arial" w:hAnsi="Arial" w:hint="cs"/>
          <w:noProof w:val="0"/>
          <w:rtl/>
        </w:rPr>
        <w:t xml:space="preserve"> לדחיית הטענה. ובמה דברים אמורי</w:t>
      </w:r>
      <w:r w:rsidR="00E80411">
        <w:rPr>
          <w:rFonts w:ascii="Arial" w:hAnsi="Arial" w:hint="cs"/>
          <w:noProof w:val="0"/>
          <w:rtl/>
        </w:rPr>
        <w:t xml:space="preserve">ם? </w:t>
      </w:r>
    </w:p>
    <w:p w:rsidR="00E80411" w:rsidRPr="00E80411" w:rsidRDefault="00E80411" w:rsidP="00E80411">
      <w:pPr>
        <w:pStyle w:val="ad"/>
        <w:rPr>
          <w:rFonts w:ascii="Arial" w:hAnsi="Arial"/>
          <w:noProof w:val="0"/>
          <w:rtl/>
        </w:rPr>
      </w:pPr>
    </w:p>
    <w:p w:rsidR="00E80411" w:rsidRDefault="00E80411" w:rsidP="00BA439E">
      <w:pPr>
        <w:pStyle w:val="ad"/>
        <w:spacing w:line="360" w:lineRule="auto"/>
        <w:ind w:left="360"/>
        <w:jc w:val="both"/>
        <w:rPr>
          <w:rFonts w:ascii="Arial" w:hAnsi="Arial"/>
          <w:noProof w:val="0"/>
        </w:rPr>
      </w:pPr>
      <w:r>
        <w:rPr>
          <w:rFonts w:ascii="Arial" w:hAnsi="Arial" w:hint="cs"/>
          <w:noProof w:val="0"/>
          <w:rtl/>
        </w:rPr>
        <w:t xml:space="preserve">התיק לפניי ראשיתו בבקשה ליישוב סכסוך שהוגשה ביום 21.5.23. לאחר שנתקבלה בקשת התובעת לקיצור תקופת עיכוב ההליכים, הוגשה ביום </w:t>
      </w:r>
      <w:r w:rsidR="00FD1F0C">
        <w:rPr>
          <w:rFonts w:ascii="Arial" w:hAnsi="Arial" w:hint="cs"/>
          <w:noProof w:val="0"/>
          <w:rtl/>
        </w:rPr>
        <w:t xml:space="preserve">26.6.23 </w:t>
      </w:r>
      <w:r w:rsidR="00AC5F57">
        <w:rPr>
          <w:rFonts w:ascii="Arial" w:hAnsi="Arial" w:hint="cs"/>
          <w:noProof w:val="0"/>
          <w:rtl/>
        </w:rPr>
        <w:t>התביעה</w:t>
      </w:r>
      <w:r w:rsidR="00FD1F0C">
        <w:rPr>
          <w:rFonts w:ascii="Arial" w:hAnsi="Arial" w:hint="cs"/>
          <w:noProof w:val="0"/>
          <w:rtl/>
        </w:rPr>
        <w:t xml:space="preserve">; </w:t>
      </w:r>
      <w:r>
        <w:rPr>
          <w:rFonts w:ascii="Arial" w:hAnsi="Arial" w:hint="cs"/>
          <w:noProof w:val="0"/>
          <w:rtl/>
        </w:rPr>
        <w:t xml:space="preserve">ביום 16.7.23  הגישה התובעת דיווח ובקשה לסעד דחוף. בהחלטתי מאותו היום הוריתי בין היתר על העברת הבקשה לתגובת הנתבע. ההחלטה נמסרה לנתבע במסירה אישית וחרף זאת לא הוגשה תגובה (ראה הודעת התובעת מיום 7.8.23). ביום 10.8.23  ניתנה החלטה מסגרתה נקבעו זמני שהות </w:t>
      </w:r>
      <w:r w:rsidR="00AC5F57">
        <w:rPr>
          <w:rFonts w:ascii="Arial" w:hAnsi="Arial" w:hint="cs"/>
          <w:noProof w:val="0"/>
          <w:rtl/>
        </w:rPr>
        <w:t xml:space="preserve">עם התובעת </w:t>
      </w:r>
      <w:r>
        <w:rPr>
          <w:rFonts w:ascii="Arial" w:hAnsi="Arial" w:hint="cs"/>
          <w:noProof w:val="0"/>
          <w:rtl/>
        </w:rPr>
        <w:t>ואף מונתה</w:t>
      </w:r>
      <w:r w:rsidR="00BA439E">
        <w:rPr>
          <w:rFonts w:ascii="Arial" w:hAnsi="Arial" w:hint="cs"/>
          <w:noProof w:val="0"/>
          <w:rtl/>
        </w:rPr>
        <w:t xml:space="preserve"> עו"ס לס"ד אש</w:t>
      </w:r>
      <w:r w:rsidR="00FD1F0C">
        <w:rPr>
          <w:rFonts w:ascii="Arial" w:hAnsi="Arial" w:hint="cs"/>
          <w:noProof w:val="0"/>
          <w:rtl/>
        </w:rPr>
        <w:t>ר הגישה הודעה כבר ביום 14.8.23</w:t>
      </w:r>
      <w:r w:rsidR="00AC5F57">
        <w:rPr>
          <w:rFonts w:ascii="Arial" w:hAnsi="Arial" w:hint="cs"/>
          <w:noProof w:val="0"/>
          <w:rtl/>
        </w:rPr>
        <w:t xml:space="preserve">; ביום 13.9.23 </w:t>
      </w:r>
      <w:r w:rsidR="00BA439E">
        <w:rPr>
          <w:rFonts w:ascii="Arial" w:hAnsi="Arial" w:hint="cs"/>
          <w:noProof w:val="0"/>
          <w:rtl/>
        </w:rPr>
        <w:t>הוגשה בקשה לארכת המועד להגשת כתב הגנה מסגרתה ציין הנתבע שקיבל את המסמכים בתיק. אציין שעד למועד</w:t>
      </w:r>
      <w:r w:rsidR="00AC5F57">
        <w:rPr>
          <w:rFonts w:ascii="Arial" w:hAnsi="Arial" w:hint="cs"/>
          <w:noProof w:val="0"/>
          <w:rtl/>
        </w:rPr>
        <w:t xml:space="preserve"> בו הוגשה בקשתו</w:t>
      </w:r>
      <w:r w:rsidR="00BA439E">
        <w:rPr>
          <w:rFonts w:ascii="Arial" w:hAnsi="Arial" w:hint="cs"/>
          <w:noProof w:val="0"/>
          <w:rtl/>
        </w:rPr>
        <w:t xml:space="preserve"> ניתנו החלטות נוספות. משלא </w:t>
      </w:r>
      <w:r w:rsidR="005E6CEC">
        <w:rPr>
          <w:rFonts w:ascii="Arial" w:hAnsi="Arial" w:hint="cs"/>
          <w:noProof w:val="0"/>
          <w:rtl/>
        </w:rPr>
        <w:t xml:space="preserve">הוגשה תגובת </w:t>
      </w:r>
      <w:r w:rsidR="00BA439E">
        <w:rPr>
          <w:rFonts w:ascii="Arial" w:hAnsi="Arial" w:hint="cs"/>
          <w:noProof w:val="0"/>
          <w:rtl/>
        </w:rPr>
        <w:t xml:space="preserve"> התובעת לארכה המבוקשת, הוארך המועד להגשת כתב הגנה וזאת עד ליום 26.10.23, וזה הוגש ביום 31.10.23. במסגרת כתב ההגנה</w:t>
      </w:r>
      <w:r w:rsidR="003338C2">
        <w:rPr>
          <w:rFonts w:ascii="Arial" w:hAnsi="Arial" w:hint="cs"/>
          <w:noProof w:val="0"/>
          <w:rtl/>
        </w:rPr>
        <w:t>, לראשונה העלה הנתבע</w:t>
      </w:r>
      <w:r w:rsidR="00BA439E">
        <w:rPr>
          <w:rFonts w:ascii="Arial" w:hAnsi="Arial" w:hint="cs"/>
          <w:noProof w:val="0"/>
          <w:rtl/>
        </w:rPr>
        <w:t xml:space="preserve"> טענתו בדבר היעדר סמ</w:t>
      </w:r>
      <w:r w:rsidR="00AC5F57">
        <w:rPr>
          <w:rFonts w:ascii="Arial" w:hAnsi="Arial" w:hint="cs"/>
          <w:noProof w:val="0"/>
          <w:rtl/>
        </w:rPr>
        <w:t>כות לבית המשפט</w:t>
      </w:r>
      <w:r w:rsidR="00FD1F0C">
        <w:rPr>
          <w:rFonts w:ascii="Arial" w:hAnsi="Arial" w:hint="cs"/>
          <w:noProof w:val="0"/>
          <w:rtl/>
        </w:rPr>
        <w:t xml:space="preserve"> לדון בתובענה, ברם לא הגיש כל בקשה נפרדת לעניין זה; ביום 9.11.24  נקבע דיון בהל</w:t>
      </w:r>
      <w:r w:rsidR="005E6CEC">
        <w:rPr>
          <w:rFonts w:ascii="Arial" w:hAnsi="Arial" w:hint="cs"/>
          <w:noProof w:val="0"/>
          <w:rtl/>
        </w:rPr>
        <w:t>יך</w:t>
      </w:r>
      <w:r w:rsidR="00FD1F0C">
        <w:rPr>
          <w:rFonts w:ascii="Arial" w:hAnsi="Arial" w:hint="cs"/>
          <w:noProof w:val="0"/>
          <w:rtl/>
        </w:rPr>
        <w:t xml:space="preserve"> ליום 6.5.24; לאחר מכן, הוגשו עוד 2 דיווחים מטעם העו"ס וניתנו עוד 4 החלטות מהותיות בשאלת המלצות</w:t>
      </w:r>
      <w:r w:rsidR="003338C2">
        <w:rPr>
          <w:rFonts w:ascii="Arial" w:hAnsi="Arial" w:hint="cs"/>
          <w:noProof w:val="0"/>
          <w:rtl/>
        </w:rPr>
        <w:t xml:space="preserve">יה </w:t>
      </w:r>
      <w:r w:rsidR="00FD1F0C">
        <w:rPr>
          <w:rFonts w:ascii="Arial" w:hAnsi="Arial" w:hint="cs"/>
          <w:noProof w:val="0"/>
          <w:rtl/>
        </w:rPr>
        <w:t>ובין היתר</w:t>
      </w:r>
      <w:r w:rsidR="003338C2">
        <w:rPr>
          <w:rFonts w:ascii="Arial" w:hAnsi="Arial" w:hint="cs"/>
          <w:noProof w:val="0"/>
          <w:rtl/>
        </w:rPr>
        <w:t xml:space="preserve"> לעניין </w:t>
      </w:r>
      <w:r w:rsidR="00FD1F0C">
        <w:rPr>
          <w:rFonts w:ascii="Arial" w:hAnsi="Arial" w:hint="cs"/>
          <w:noProof w:val="0"/>
          <w:rtl/>
        </w:rPr>
        <w:t xml:space="preserve"> זמני השהות.</w:t>
      </w:r>
    </w:p>
    <w:p w:rsidR="00BA439E" w:rsidRPr="00FD1F0C" w:rsidRDefault="00BA439E" w:rsidP="00BA439E">
      <w:pPr>
        <w:pStyle w:val="ad"/>
        <w:rPr>
          <w:rFonts w:ascii="Arial" w:hAnsi="Arial"/>
          <w:noProof w:val="0"/>
          <w:rtl/>
        </w:rPr>
      </w:pPr>
    </w:p>
    <w:p w:rsidR="004D372C" w:rsidRDefault="00FD1F0C" w:rsidP="00EC527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בחלוף כל ההליכים כאמור לעיל, ורק ביום 14.3.24, עת נדרש הנתבע ליתן תגובתו כאמור בהחלטה מיום </w:t>
      </w:r>
      <w:r w:rsidR="003338C2">
        <w:rPr>
          <w:rFonts w:ascii="Arial" w:hAnsi="Arial" w:hint="cs"/>
          <w:noProof w:val="0"/>
          <w:rtl/>
        </w:rPr>
        <w:t>,</w:t>
      </w:r>
      <w:r>
        <w:rPr>
          <w:rFonts w:ascii="Arial" w:hAnsi="Arial" w:hint="cs"/>
          <w:noProof w:val="0"/>
          <w:rtl/>
        </w:rPr>
        <w:t xml:space="preserve">10.3.24 </w:t>
      </w:r>
      <w:r w:rsidR="003338C2">
        <w:rPr>
          <w:rFonts w:ascii="Arial" w:hAnsi="Arial" w:hint="cs"/>
          <w:noProof w:val="0"/>
          <w:rtl/>
        </w:rPr>
        <w:t xml:space="preserve">העלה טענתו </w:t>
      </w:r>
      <w:r>
        <w:rPr>
          <w:rFonts w:ascii="Arial" w:hAnsi="Arial" w:hint="cs"/>
          <w:noProof w:val="0"/>
          <w:rtl/>
        </w:rPr>
        <w:t>שבית המשפט לא נתן דעתו בשאלת הסמכות לדון בהליך</w:t>
      </w:r>
      <w:r w:rsidR="003338C2">
        <w:rPr>
          <w:rFonts w:ascii="Arial" w:hAnsi="Arial" w:hint="cs"/>
          <w:noProof w:val="0"/>
          <w:rtl/>
        </w:rPr>
        <w:t>, וראשית יש לדון בטענה זו.</w:t>
      </w:r>
      <w:r>
        <w:rPr>
          <w:rFonts w:ascii="Arial" w:hAnsi="Arial" w:hint="cs"/>
          <w:noProof w:val="0"/>
          <w:rtl/>
        </w:rPr>
        <w:t xml:space="preserve"> התנהלות זו </w:t>
      </w:r>
      <w:r w:rsidR="003338C2">
        <w:rPr>
          <w:rFonts w:ascii="Arial" w:hAnsi="Arial" w:hint="cs"/>
          <w:noProof w:val="0"/>
          <w:rtl/>
        </w:rPr>
        <w:t xml:space="preserve">של הנתבע, מוצאת אני כבלתי ראויה ואשר יש בה בכדי  </w:t>
      </w:r>
      <w:r w:rsidR="00A73967">
        <w:rPr>
          <w:rFonts w:ascii="Arial" w:hAnsi="Arial" w:hint="cs"/>
          <w:noProof w:val="0"/>
          <w:rtl/>
        </w:rPr>
        <w:t>לסרבל את ההליכים</w:t>
      </w:r>
      <w:r w:rsidR="003338C2">
        <w:rPr>
          <w:rFonts w:ascii="Arial" w:hAnsi="Arial" w:hint="cs"/>
          <w:noProof w:val="0"/>
          <w:rtl/>
        </w:rPr>
        <w:t xml:space="preserve"> ולהאריכם, אגב פגיעה בקטינה</w:t>
      </w:r>
      <w:r w:rsidR="00A73967">
        <w:rPr>
          <w:rFonts w:ascii="Arial" w:hAnsi="Arial" w:hint="cs"/>
          <w:noProof w:val="0"/>
          <w:rtl/>
        </w:rPr>
        <w:t xml:space="preserve">. כמפורט, עובר להגשת הבקשה ניתנו לא פחות מ- 14 החלטות, חלקן הגדול, מהותיות. כן, הוגשו לתיק 4 תסקירים מפורטים בגיבוש המלצות אשר נדונו והוכרעו. בנסיבות </w:t>
      </w:r>
      <w:r w:rsidR="003338C2">
        <w:rPr>
          <w:rFonts w:ascii="Arial" w:hAnsi="Arial" w:hint="cs"/>
          <w:noProof w:val="0"/>
          <w:rtl/>
        </w:rPr>
        <w:t>אלה, יש לראות בנתבע כמי שחזר בו מטענתו, ו</w:t>
      </w:r>
      <w:r w:rsidR="004D372C">
        <w:rPr>
          <w:rFonts w:ascii="Arial" w:hAnsi="Arial" w:hint="cs"/>
          <w:noProof w:val="0"/>
          <w:rtl/>
        </w:rPr>
        <w:t>הסכים ל</w:t>
      </w:r>
      <w:r w:rsidR="00A73967">
        <w:rPr>
          <w:rFonts w:ascii="Arial" w:hAnsi="Arial" w:hint="cs"/>
          <w:noProof w:val="0"/>
          <w:rtl/>
        </w:rPr>
        <w:t>סמכות</w:t>
      </w:r>
      <w:r w:rsidR="004D372C">
        <w:rPr>
          <w:rFonts w:ascii="Arial" w:hAnsi="Arial" w:hint="cs"/>
          <w:noProof w:val="0"/>
          <w:rtl/>
        </w:rPr>
        <w:t xml:space="preserve">ו של </w:t>
      </w:r>
      <w:r w:rsidR="00A73967">
        <w:rPr>
          <w:rFonts w:ascii="Arial" w:hAnsi="Arial" w:hint="cs"/>
          <w:noProof w:val="0"/>
          <w:rtl/>
        </w:rPr>
        <w:t xml:space="preserve">בית המשפט כאן. </w:t>
      </w:r>
    </w:p>
    <w:p w:rsidR="005B0430" w:rsidRDefault="005B0430" w:rsidP="005E6CEC">
      <w:pPr>
        <w:pStyle w:val="ad"/>
        <w:ind w:left="360"/>
        <w:jc w:val="both"/>
        <w:rPr>
          <w:rFonts w:ascii="Arial" w:hAnsi="Arial"/>
          <w:noProof w:val="0"/>
        </w:rPr>
      </w:pPr>
    </w:p>
    <w:p w:rsidR="004D372C" w:rsidRDefault="00A73967" w:rsidP="004D372C">
      <w:pPr>
        <w:pStyle w:val="ad"/>
        <w:numPr>
          <w:ilvl w:val="0"/>
          <w:numId w:val="1"/>
        </w:numPr>
        <w:spacing w:line="360" w:lineRule="auto"/>
        <w:jc w:val="both"/>
        <w:rPr>
          <w:rFonts w:ascii="Arial" w:hAnsi="Arial"/>
          <w:noProof w:val="0"/>
        </w:rPr>
      </w:pPr>
      <w:r>
        <w:rPr>
          <w:rFonts w:ascii="Arial" w:hAnsi="Arial" w:hint="cs"/>
          <w:noProof w:val="0"/>
          <w:rtl/>
        </w:rPr>
        <w:t>ודוק; אין חולק כי לבית המשפט כאן סמכות מקבילה לדון בסעד המבוקש. אשר על כן,</w:t>
      </w:r>
      <w:r w:rsidR="004D372C">
        <w:rPr>
          <w:rFonts w:ascii="Arial" w:hAnsi="Arial" w:hint="cs"/>
          <w:noProof w:val="0"/>
          <w:rtl/>
        </w:rPr>
        <w:t xml:space="preserve"> ועל אף שקבעתי ש</w:t>
      </w:r>
      <w:r>
        <w:rPr>
          <w:rFonts w:ascii="Arial" w:hAnsi="Arial" w:hint="cs"/>
          <w:noProof w:val="0"/>
          <w:rtl/>
        </w:rPr>
        <w:t xml:space="preserve">היה </w:t>
      </w:r>
      <w:r w:rsidR="003338C2">
        <w:rPr>
          <w:rFonts w:ascii="Arial" w:hAnsi="Arial" w:hint="cs"/>
          <w:noProof w:val="0"/>
          <w:rtl/>
        </w:rPr>
        <w:t>על התובעת להגישה</w:t>
      </w:r>
      <w:r>
        <w:rPr>
          <w:rFonts w:ascii="Arial" w:hAnsi="Arial" w:hint="cs"/>
          <w:noProof w:val="0"/>
          <w:rtl/>
        </w:rPr>
        <w:t xml:space="preserve"> מלכתחילה לפני בית הדין השרעי, יש לבחון האם בשלב זה של ההליך, ונו</w:t>
      </w:r>
      <w:r w:rsidR="004D372C">
        <w:rPr>
          <w:rFonts w:ascii="Arial" w:hAnsi="Arial" w:hint="cs"/>
          <w:noProof w:val="0"/>
          <w:rtl/>
        </w:rPr>
        <w:t>כח ההליכים שננקטו, ההחלטות שניתנ</w:t>
      </w:r>
      <w:r>
        <w:rPr>
          <w:rFonts w:ascii="Arial" w:hAnsi="Arial" w:hint="cs"/>
          <w:noProof w:val="0"/>
          <w:rtl/>
        </w:rPr>
        <w:t>ו, היכרות בית המשפט עם התיק, ומעל הכל, טובת הקטינה, י</w:t>
      </w:r>
      <w:r w:rsidR="005E6CEC">
        <w:rPr>
          <w:rFonts w:ascii="Arial" w:hAnsi="Arial" w:hint="cs"/>
          <w:noProof w:val="0"/>
          <w:rtl/>
        </w:rPr>
        <w:t xml:space="preserve">ש מקום להורות על העברת הדיון </w:t>
      </w:r>
      <w:r>
        <w:rPr>
          <w:rFonts w:ascii="Arial" w:hAnsi="Arial" w:hint="cs"/>
          <w:noProof w:val="0"/>
          <w:rtl/>
        </w:rPr>
        <w:t>לפני בית הדין השרעי. את התשובה לשאלה זו</w:t>
      </w:r>
      <w:r w:rsidR="0079732E">
        <w:rPr>
          <w:rFonts w:ascii="Arial" w:hAnsi="Arial" w:hint="cs"/>
          <w:noProof w:val="0"/>
          <w:rtl/>
        </w:rPr>
        <w:t xml:space="preserve"> מצאתי בשלילה</w:t>
      </w:r>
      <w:r w:rsidR="004D372C">
        <w:rPr>
          <w:rFonts w:ascii="Arial" w:hAnsi="Arial" w:hint="cs"/>
          <w:noProof w:val="0"/>
          <w:rtl/>
        </w:rPr>
        <w:t>; כמפורט, לבית המשפט כאן הוגשו 4 תסקירים מהותיים, וניתנו 16 החלטות, חלקן הארי מהותיות. אשר על כן, לא מצאתי</w:t>
      </w:r>
      <w:r w:rsidR="005E6CEC">
        <w:rPr>
          <w:rFonts w:ascii="Arial" w:hAnsi="Arial" w:hint="cs"/>
          <w:noProof w:val="0"/>
          <w:rtl/>
        </w:rPr>
        <w:t xml:space="preserve"> שבנסיבות אלה, בשלב זה של ההליך</w:t>
      </w:r>
      <w:r w:rsidR="004D372C">
        <w:rPr>
          <w:rFonts w:ascii="Arial" w:hAnsi="Arial" w:hint="cs"/>
          <w:noProof w:val="0"/>
          <w:rtl/>
        </w:rPr>
        <w:t xml:space="preserve"> בו מצאתי לראות בנתבע כמי שנתן הסכמתו לניהול כאן, יש להעדיף את כלל הסמכות הנמשכת על פני המשך ניהול ההליך</w:t>
      </w:r>
      <w:r w:rsidR="003338C2">
        <w:rPr>
          <w:rFonts w:ascii="Arial" w:hAnsi="Arial" w:hint="cs"/>
          <w:noProof w:val="0"/>
          <w:rtl/>
        </w:rPr>
        <w:t xml:space="preserve"> יעיל ורציף</w:t>
      </w:r>
      <w:r w:rsidR="004D372C">
        <w:rPr>
          <w:rFonts w:ascii="Arial" w:hAnsi="Arial" w:hint="cs"/>
          <w:noProof w:val="0"/>
          <w:rtl/>
        </w:rPr>
        <w:t>, תחת בחינת בית המשפט את טובת הקטינה, ובמעורבות עו"ס לס"ד.</w:t>
      </w:r>
    </w:p>
    <w:p w:rsidR="004D372C" w:rsidRPr="003338C2" w:rsidRDefault="004D372C" w:rsidP="003338C2">
      <w:pPr>
        <w:pStyle w:val="ad"/>
        <w:ind w:left="360"/>
        <w:jc w:val="both"/>
        <w:rPr>
          <w:rFonts w:ascii="Arial" w:hAnsi="Arial"/>
          <w:noProof w:val="0"/>
        </w:rPr>
      </w:pPr>
    </w:p>
    <w:p w:rsidR="004D372C" w:rsidRDefault="004D372C" w:rsidP="004D372C">
      <w:pPr>
        <w:pStyle w:val="ad"/>
        <w:numPr>
          <w:ilvl w:val="0"/>
          <w:numId w:val="1"/>
        </w:numPr>
        <w:spacing w:line="360" w:lineRule="auto"/>
        <w:jc w:val="both"/>
        <w:rPr>
          <w:rFonts w:ascii="Arial" w:hAnsi="Arial"/>
          <w:noProof w:val="0"/>
        </w:rPr>
      </w:pPr>
      <w:r>
        <w:rPr>
          <w:rFonts w:ascii="Arial" w:hAnsi="Arial" w:hint="cs"/>
          <w:noProof w:val="0"/>
          <w:rtl/>
        </w:rPr>
        <w:t>מכל המפורט לעיל, מצאתי לקבל את הבקשה ולהורות על ביטול פס"ד מיום 7.4.24, וניתנות לצדדים הוראות כדלקמן:</w:t>
      </w:r>
    </w:p>
    <w:p w:rsidR="004D372C" w:rsidRPr="004D372C" w:rsidRDefault="004D372C" w:rsidP="004D372C">
      <w:pPr>
        <w:pStyle w:val="ad"/>
        <w:rPr>
          <w:rFonts w:ascii="Arial" w:hAnsi="Arial"/>
          <w:noProof w:val="0"/>
          <w:rtl/>
        </w:rPr>
      </w:pPr>
    </w:p>
    <w:p w:rsidR="004D372C" w:rsidRDefault="004D372C" w:rsidP="004D372C">
      <w:pPr>
        <w:pStyle w:val="ad"/>
        <w:numPr>
          <w:ilvl w:val="0"/>
          <w:numId w:val="2"/>
        </w:numPr>
        <w:spacing w:line="360" w:lineRule="auto"/>
        <w:jc w:val="both"/>
        <w:rPr>
          <w:rFonts w:ascii="Arial" w:hAnsi="Arial"/>
          <w:noProof w:val="0"/>
        </w:rPr>
      </w:pPr>
      <w:r>
        <w:rPr>
          <w:rFonts w:ascii="Arial" w:hAnsi="Arial" w:hint="cs"/>
          <w:noProof w:val="0"/>
          <w:rtl/>
        </w:rPr>
        <w:t>עו"ס לס</w:t>
      </w:r>
      <w:r w:rsidR="005B0430">
        <w:rPr>
          <w:rFonts w:ascii="Arial" w:hAnsi="Arial" w:hint="cs"/>
          <w:noProof w:val="0"/>
          <w:rtl/>
        </w:rPr>
        <w:t>"ד מתבקשת להגיש דיווח משלים וזאת תוך 30 ימים.</w:t>
      </w:r>
      <w:r w:rsidR="003338C2">
        <w:rPr>
          <w:rFonts w:ascii="Arial" w:hAnsi="Arial" w:hint="cs"/>
          <w:noProof w:val="0"/>
          <w:rtl/>
        </w:rPr>
        <w:t xml:space="preserve"> באחריות הצדדים לוודא הגשתו לתיק.</w:t>
      </w:r>
    </w:p>
    <w:p w:rsidR="003338C2" w:rsidRDefault="003338C2" w:rsidP="005E6CEC">
      <w:pPr>
        <w:pStyle w:val="ad"/>
        <w:jc w:val="both"/>
        <w:rPr>
          <w:rFonts w:ascii="Arial" w:hAnsi="Arial"/>
          <w:noProof w:val="0"/>
        </w:rPr>
      </w:pPr>
    </w:p>
    <w:p w:rsidR="005B0430" w:rsidRDefault="005B0430" w:rsidP="004D372C">
      <w:pPr>
        <w:pStyle w:val="ad"/>
        <w:numPr>
          <w:ilvl w:val="0"/>
          <w:numId w:val="2"/>
        </w:numPr>
        <w:spacing w:line="360" w:lineRule="auto"/>
        <w:jc w:val="both"/>
        <w:rPr>
          <w:rFonts w:ascii="Arial" w:hAnsi="Arial"/>
          <w:noProof w:val="0"/>
        </w:rPr>
      </w:pPr>
      <w:r>
        <w:rPr>
          <w:rFonts w:ascii="Arial" w:hAnsi="Arial" w:hint="cs"/>
          <w:noProof w:val="0"/>
          <w:rtl/>
        </w:rPr>
        <w:t xml:space="preserve">נקבע לדיון במעמד הצדדים ליום 1.10.24  בשעה 10:00. </w:t>
      </w:r>
    </w:p>
    <w:p w:rsidR="005B0430" w:rsidRDefault="005B0430" w:rsidP="005E6CEC">
      <w:pPr>
        <w:pStyle w:val="ad"/>
        <w:jc w:val="both"/>
        <w:rPr>
          <w:rFonts w:ascii="Arial" w:hAnsi="Arial"/>
          <w:noProof w:val="0"/>
        </w:rPr>
      </w:pPr>
    </w:p>
    <w:p w:rsidR="004D372C" w:rsidRDefault="005B0430" w:rsidP="004D372C">
      <w:pPr>
        <w:pStyle w:val="ad"/>
        <w:numPr>
          <w:ilvl w:val="0"/>
          <w:numId w:val="1"/>
        </w:numPr>
        <w:spacing w:line="360" w:lineRule="auto"/>
        <w:jc w:val="both"/>
        <w:rPr>
          <w:rFonts w:ascii="Arial" w:hAnsi="Arial"/>
          <w:noProof w:val="0"/>
        </w:rPr>
      </w:pPr>
      <w:r>
        <w:rPr>
          <w:rFonts w:ascii="Arial" w:hAnsi="Arial" w:hint="cs"/>
          <w:noProof w:val="0"/>
          <w:rtl/>
        </w:rPr>
        <w:t xml:space="preserve">בנסיבות, ועת התובעת מיוצגת באמצעות הלשכה לסיוע המשפטי, איני עושה צו להוצאות. </w:t>
      </w:r>
    </w:p>
    <w:p w:rsidR="003338C2" w:rsidRDefault="003338C2" w:rsidP="005E6CEC">
      <w:pPr>
        <w:jc w:val="both"/>
        <w:rPr>
          <w:rFonts w:ascii="Arial" w:hAnsi="Arial"/>
          <w:noProof w:val="0"/>
          <w:rtl/>
        </w:rPr>
      </w:pPr>
    </w:p>
    <w:p w:rsidR="001B7935" w:rsidRDefault="003338C2" w:rsidP="001B7935">
      <w:pPr>
        <w:spacing w:line="360" w:lineRule="auto"/>
        <w:jc w:val="both"/>
        <w:rPr>
          <w:rFonts w:ascii="Arial" w:hAnsi="Arial"/>
          <w:noProof w:val="0"/>
          <w:rtl/>
        </w:rPr>
      </w:pPr>
      <w:r w:rsidRPr="003338C2">
        <w:rPr>
          <w:rFonts w:ascii="Arial" w:hAnsi="Arial" w:hint="cs"/>
          <w:b/>
          <w:bCs/>
          <w:noProof w:val="0"/>
          <w:u w:val="single"/>
          <w:rtl/>
        </w:rPr>
        <w:t>המזכירות</w:t>
      </w:r>
      <w:r>
        <w:rPr>
          <w:rFonts w:ascii="Arial" w:hAnsi="Arial" w:hint="cs"/>
          <w:noProof w:val="0"/>
          <w:rtl/>
        </w:rPr>
        <w:t xml:space="preserve"> תמציא החלטתי לצדדים ולעו"ס, ותפעל לפתיחת התיק. </w:t>
      </w:r>
    </w:p>
    <w:p w:rsidR="003338C2" w:rsidRDefault="003338C2" w:rsidP="005E6CEC">
      <w:pPr>
        <w:jc w:val="both"/>
        <w:rPr>
          <w:rFonts w:ascii="Arial" w:hAnsi="Arial"/>
          <w:noProof w:val="0"/>
          <w:rtl/>
        </w:rPr>
      </w:pPr>
    </w:p>
    <w:p w:rsidR="003338C2" w:rsidRDefault="003338C2" w:rsidP="001B7935">
      <w:pPr>
        <w:spacing w:line="360" w:lineRule="auto"/>
        <w:jc w:val="both"/>
        <w:rPr>
          <w:rFonts w:ascii="Arial" w:hAnsi="Arial"/>
          <w:noProof w:val="0"/>
          <w:rtl/>
        </w:rPr>
      </w:pPr>
      <w:r>
        <w:rPr>
          <w:rFonts w:ascii="Arial" w:hAnsi="Arial" w:hint="cs"/>
          <w:noProof w:val="0"/>
          <w:rtl/>
        </w:rPr>
        <w:t>ההחלטה מותרת לפרסום</w:t>
      </w:r>
      <w:r w:rsidR="00A64AC5">
        <w:rPr>
          <w:rFonts w:ascii="Arial" w:hAnsi="Arial" w:hint="cs"/>
          <w:noProof w:val="0"/>
          <w:rtl/>
        </w:rPr>
        <w:t xml:space="preserve"> בהיעדר כל פרט מזהה </w:t>
      </w:r>
      <w:r>
        <w:rPr>
          <w:rFonts w:ascii="Arial" w:hAnsi="Arial" w:hint="cs"/>
          <w:noProof w:val="0"/>
          <w:rtl/>
        </w:rPr>
        <w:t xml:space="preserve"> </w:t>
      </w:r>
      <w:r w:rsidR="00A64AC5">
        <w:rPr>
          <w:rFonts w:ascii="Arial" w:hAnsi="Arial" w:hint="cs"/>
          <w:noProof w:val="0"/>
          <w:rtl/>
        </w:rPr>
        <w:t>ו</w:t>
      </w:r>
      <w:r>
        <w:rPr>
          <w:rFonts w:ascii="Arial" w:hAnsi="Arial" w:hint="cs"/>
          <w:noProof w:val="0"/>
          <w:rtl/>
        </w:rPr>
        <w:t>בכפוף לתיקוני הג</w:t>
      </w:r>
      <w:r w:rsidR="00A64AC5">
        <w:rPr>
          <w:rFonts w:ascii="Arial" w:hAnsi="Arial" w:hint="cs"/>
          <w:noProof w:val="0"/>
          <w:rtl/>
        </w:rPr>
        <w:t xml:space="preserve">הה. </w:t>
      </w:r>
    </w:p>
    <w:p w:rsidR="003338C2" w:rsidRPr="001B7935" w:rsidRDefault="003338C2" w:rsidP="005E6CEC">
      <w:pPr>
        <w:jc w:val="both"/>
        <w:rPr>
          <w:rFonts w:ascii="Arial" w:hAnsi="Arial"/>
          <w:noProof w:val="0"/>
        </w:rPr>
      </w:pPr>
    </w:p>
    <w:p w:rsidR="00694556" w:rsidRPr="001B7935" w:rsidRDefault="0043502B" w:rsidP="001B7935">
      <w:pPr>
        <w:spacing w:line="360" w:lineRule="auto"/>
        <w:jc w:val="both"/>
        <w:rPr>
          <w:rFonts w:ascii="Arial" w:hAnsi="Arial"/>
          <w:noProof w:val="0"/>
          <w:rtl/>
        </w:rPr>
      </w:pPr>
      <w:r w:rsidRPr="001B7935">
        <w:rPr>
          <w:rFonts w:ascii="Arial" w:hAnsi="Arial"/>
          <w:noProof w:val="0"/>
          <w:rtl/>
        </w:rPr>
        <w:t>נית</w:t>
      </w:r>
      <w:r w:rsidRPr="001B7935">
        <w:rPr>
          <w:rFonts w:ascii="Arial" w:hAnsi="Arial" w:hint="cs"/>
          <w:noProof w:val="0"/>
          <w:rtl/>
        </w:rPr>
        <w:t>נה</w:t>
      </w:r>
      <w:r w:rsidR="00005C8B" w:rsidRPr="001B7935">
        <w:rPr>
          <w:rFonts w:ascii="Arial" w:hAnsi="Arial"/>
          <w:noProof w:val="0"/>
          <w:rtl/>
        </w:rPr>
        <w:t xml:space="preserve"> היום, </w:t>
      </w:r>
      <w:sdt>
        <w:sdtPr>
          <w:rPr>
            <w:rFonts w:ascii="Arial" w:hAnsi="Arial"/>
            <w:noProof w:val="0"/>
            <w:rtl/>
          </w:rPr>
          <w:alias w:val="1455"/>
          <w:tag w:val="1455"/>
          <w:id w:val="1666048407"/>
          <w:text w:multiLine="1"/>
        </w:sdtPr>
        <w:sdtEndPr/>
        <w:sdtContent>
          <w:r>
            <w:rPr>
              <w:rFonts w:ascii="Arial" w:hAnsi="Arial"/>
              <w:noProof w:val="0"/>
              <w:rtl/>
            </w:rPr>
            <w:t>י"ח אייר תשפ"ד</w:t>
          </w:r>
        </w:sdtContent>
      </w:sdt>
      <w:r w:rsidR="00005C8B" w:rsidRPr="001B7935">
        <w:rPr>
          <w:rFonts w:ascii="Arial" w:hAnsi="Arial"/>
          <w:noProof w:val="0"/>
          <w:rtl/>
        </w:rPr>
        <w:t xml:space="preserve">, </w:t>
      </w:r>
      <w:sdt>
        <w:sdtPr>
          <w:rPr>
            <w:rFonts w:ascii="Arial" w:hAnsi="Arial"/>
            <w:noProof w:val="0"/>
            <w:rtl/>
          </w:rPr>
          <w:alias w:val="1456"/>
          <w:tag w:val="1456"/>
          <w:id w:val="-1186288958"/>
          <w:text w:multiLine="1"/>
        </w:sdtPr>
        <w:sdtEndPr/>
        <w:sdtContent>
          <w:r>
            <w:rPr>
              <w:rFonts w:ascii="Arial" w:hAnsi="Arial"/>
              <w:noProof w:val="0"/>
              <w:rtl/>
            </w:rPr>
            <w:t>26 מאי 2024</w:t>
          </w:r>
        </w:sdtContent>
      </w:sdt>
      <w:r w:rsidR="00005C8B" w:rsidRPr="001B7935">
        <w:rPr>
          <w:rFonts w:ascii="Arial" w:hAnsi="Arial"/>
          <w:noProof w:val="0"/>
          <w:rtl/>
        </w:rPr>
        <w:t>, בהעדר הצדדים.</w:t>
      </w:r>
    </w:p>
    <w:p w:rsidR="00C43648" w:rsidRDefault="00EF1BC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5E6CEC" w:rsidRDefault="00BD6531" w:rsidP="005E6CEC">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936949610"/>
        </w:sdtPr>
        <w:sdtEndPr/>
        <w:sdtContent>
          <w:r w:rsidR="005E6CEC">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838200"/>
                        </a:xfrm>
                        <a:prstGeom prst="rect">
                          <a:avLst/>
                        </a:prstGeom>
                      </pic:spPr>
                    </pic:pic>
                  </a:graphicData>
                </a:graphic>
              </wp:inline>
            </w:drawing>
          </w:r>
        </w:sdtContent>
      </w:sdt>
    </w:p>
    <w:sectPr w:rsidR="00694556" w:rsidRPr="005E6CEC"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BC1" w:rsidRDefault="00EF1BC1">
      <w:r>
        <w:separator/>
      </w:r>
    </w:p>
  </w:endnote>
  <w:endnote w:type="continuationSeparator" w:id="0">
    <w:p w:rsidR="00EF1BC1" w:rsidRDefault="00EF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7B0" w:rsidRDefault="00B307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9272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92723">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7B0" w:rsidRDefault="00B307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BC1" w:rsidRDefault="00EF1BC1">
      <w:r>
        <w:separator/>
      </w:r>
    </w:p>
  </w:footnote>
  <w:footnote w:type="continuationSeparator" w:id="0">
    <w:p w:rsidR="00EF1BC1" w:rsidRDefault="00EF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7B0" w:rsidRDefault="00B307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940B55">
      <w:trPr>
        <w:trHeight w:hRule="exact" w:val="426"/>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940B55">
      <w:trPr>
        <w:trHeight w:val="337"/>
        <w:jc w:val="center"/>
      </w:trPr>
      <w:tc>
        <w:tcPr>
          <w:tcW w:w="8505" w:type="dxa"/>
        </w:tcPr>
        <w:p w:rsidR="007D45E3" w:rsidRDefault="00EF1BC1"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60636-06-23</w:t>
              </w:r>
            </w:sdtContent>
          </w:sdt>
          <w:r w:rsidR="00005C8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40B55">
          <w:pPr>
            <w:rPr>
              <w:sz w:val="20"/>
              <w:szCs w:val="20"/>
              <w:rtl/>
            </w:rPr>
          </w:pPr>
          <w:r>
            <w:rPr>
              <w:rFonts w:hint="cs"/>
              <w:rtl/>
            </w:rPr>
            <w:t xml:space="preserve">                           </w:t>
          </w:r>
          <w:r>
            <w:rPr>
              <w:rFonts w:hint="cs"/>
              <w:sz w:val="20"/>
              <w:szCs w:val="20"/>
              <w:rtl/>
            </w:rPr>
            <w:t xml:space="preserve">       </w:t>
          </w:r>
          <w:r w:rsidR="00940B55">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7B0" w:rsidRDefault="00B307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A60604"/>
    <w:multiLevelType w:val="hybridMultilevel"/>
    <w:tmpl w:val="D0B671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ECA5769"/>
    <w:multiLevelType w:val="hybridMultilevel"/>
    <w:tmpl w:val="0EB234BA"/>
    <w:lvl w:ilvl="0" w:tplc="A6C45AD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745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74571&amp;lt;/CaseID&amp;gt;_x000d__x000a_        &amp;lt;CaseMonth&amp;gt;6&amp;lt;/CaseMonth&amp;gt;_x000d__x000a_        &amp;lt;CaseYear&amp;gt;2023&amp;lt;/CaseYear&amp;gt;_x000d__x000a_        &amp;lt;CaseNumber&amp;gt;60636&amp;lt;/CaseNumber&amp;gt;_x000d__x000a_        &amp;lt;NumeratorGroupID&amp;gt;1&amp;lt;/NumeratorGroupID&amp;gt;_x000d__x000a_        &amp;lt;CaseName&amp;gt;דז&amp;#39;לילוב נ&amp;#39; בריק&amp;lt;/CaseName&amp;gt;_x000d__x000a_        &amp;lt;CourtID&amp;gt;25&amp;lt;/CourtID&amp;gt;_x000d__x000a_        &amp;lt;CaseTypeID&amp;gt;10262&amp;lt;/CaseTypeID&amp;gt;_x000d__x000a_        &amp;lt;CaseInterestID&amp;gt;10510&amp;lt;/CaseInterestID&amp;gt;_x000d__x000a_        &amp;lt;CaseJudgeName&amp;gt;ליאת דהן חיו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636-06-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OpenDate&amp;gt;2023-06-26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74571&amp;lt;/CaseID&amp;gt;_x000d__x000a_        &amp;lt;CaseMonth&amp;gt;6&amp;lt;/CaseMonth&amp;gt;_x000d__x000a_        &amp;lt;CaseYear&amp;gt;2023&amp;lt;/CaseYear&amp;gt;_x000d__x000a_        &amp;lt;CaseNumber&amp;gt;60636&amp;lt;/CaseNumber&amp;gt;_x000d__x000a_        &amp;lt;NumeratorGroupID&amp;gt;1&amp;lt;/NumeratorGroupID&amp;gt;_x000d__x000a_        &amp;lt;CaseName&amp;gt;דז&amp;#39;לילוב נ&amp;#39; בריק&amp;lt;/CaseName&amp;gt;_x000d__x000a_        &amp;lt;CourtID&amp;gt;25&amp;lt;/CourtID&amp;gt;_x000d__x000a_        &amp;lt;CaseTypeID&amp;gt;10262&amp;lt;/CaseTypeID&amp;gt;_x000d__x000a_        &amp;lt;CaseInterestID&amp;gt;10510&amp;lt;/CaseInterestID&amp;gt;_x000d__x000a_        &amp;lt;CaseJudgeName&amp;gt;ליאת דהן חיו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636-06-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23-06-26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46092&amp;lt;/DecisionID&amp;gt;_x000d__x000a_        &amp;lt;DecisionName&amp;gt;החלטה  שניתנה ע&amp;quot;י  ליאת דהן חיון&amp;lt;/DecisionName&amp;gt;_x000d__x000a_        &amp;lt;DecisionStatusID&amp;gt;1&amp;lt;/DecisionStatusID&amp;gt;_x000d__x000a_        &amp;lt;DecisionStatusChangeDate&amp;gt;2024-05-25T12:35:15.327+03:00&amp;lt;/DecisionStatusChangeDate&amp;gt;_x000d__x000a_        &amp;lt;DecisionSignatureDate&amp;gt;2024-05-25T12:35:13.463+03:00&amp;lt;/DecisionSignatureDate&amp;gt;_x000d__x000a_        &amp;lt;DecisionSignatureUserID&amp;gt;036317956@GOV.IL&amp;lt;/DecisionSignatureUserID&amp;gt;_x000d__x000a_        &amp;lt;DecisionCreateDate&amp;gt;2024-05-25T12:01:37.08+03:00&amp;lt;/DecisionCreateDate&amp;gt;_x000d__x000a_        &amp;lt;DecisionChangeDate&amp;gt;2024-05-25T12:35:15.543+03:00&amp;lt;/DecisionChangeDate&amp;gt;_x000d__x000a_        &amp;lt;DecisionChangeUserID&amp;gt;0363179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39328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3179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7956@GOV.IL&amp;lt;/DecisionCreationUserID&amp;gt;_x000d__x000a_        &amp;lt;DecisionDisplayName&amp;gt;החלטה  שניתנה ע&amp;quot;י  ליאת דהן חיון&amp;lt;/DecisionDisplayName&amp;gt;_x000d__x000a_        &amp;lt;IsScanned&amp;gt;false&amp;lt;/IsScanned&amp;gt;_x000d__x000a_        &amp;lt;DecisionSignatureUserName&amp;gt;ליאת דהן 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51846092&amp;lt;/DecisionID&amp;gt;_x000d__x000a_        &amp;lt;CaseID&amp;gt;80374571&amp;lt;/CaseID&amp;gt;_x000d__x000a_        &amp;lt;IsOriginal&amp;gt;true&amp;lt;/IsOriginal&amp;gt;_x000d__x000a_        &amp;lt;IsDeleted&amp;gt;false&amp;lt;/IsDeleted&amp;gt;_x000d__x000a_        &amp;lt;CaseName&amp;gt;דז&amp;#39;לילוב נ&amp;#39; בריק&amp;lt;/CaseName&amp;gt;_x000d__x000a_        &amp;lt;CaseDisplayIdentifier&amp;gt;60636-06-23 תלה&amp;quot;מ&amp;lt;/CaseDisplayIdentifier&amp;gt;_x000d__x000a_      &amp;lt;/dt_DecisionCase&amp;gt;_x000d__x000a_    &amp;lt;/DecisionDS&amp;gt;_x000d__x000a_  &amp;lt;/diffgr:diffgram&amp;gt;_x000d__x000a_&amp;lt;/DecisionDS&amp;gt;"/>
    <w:docVar w:name="DecisionID" w:val="151846092"/>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689A"/>
    <w:rsid w:val="00082AB2"/>
    <w:rsid w:val="000906FE"/>
    <w:rsid w:val="00096AF7"/>
    <w:rsid w:val="000A7719"/>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B7935"/>
    <w:rsid w:val="001C4003"/>
    <w:rsid w:val="001D4DBF"/>
    <w:rsid w:val="001E75CA"/>
    <w:rsid w:val="002265FF"/>
    <w:rsid w:val="00234943"/>
    <w:rsid w:val="00271B56"/>
    <w:rsid w:val="0028443A"/>
    <w:rsid w:val="002C344E"/>
    <w:rsid w:val="002C3F4A"/>
    <w:rsid w:val="002E75E9"/>
    <w:rsid w:val="0030642F"/>
    <w:rsid w:val="00307A6A"/>
    <w:rsid w:val="00307C40"/>
    <w:rsid w:val="00320433"/>
    <w:rsid w:val="003230C7"/>
    <w:rsid w:val="00327E50"/>
    <w:rsid w:val="003338C2"/>
    <w:rsid w:val="0033597A"/>
    <w:rsid w:val="00343D89"/>
    <w:rsid w:val="00362612"/>
    <w:rsid w:val="0036743F"/>
    <w:rsid w:val="003715DD"/>
    <w:rsid w:val="003823E0"/>
    <w:rsid w:val="00392723"/>
    <w:rsid w:val="003A4521"/>
    <w:rsid w:val="003D1C8C"/>
    <w:rsid w:val="003E0CBF"/>
    <w:rsid w:val="0040096C"/>
    <w:rsid w:val="00414F1F"/>
    <w:rsid w:val="0043125D"/>
    <w:rsid w:val="0043502B"/>
    <w:rsid w:val="004443AC"/>
    <w:rsid w:val="00444B02"/>
    <w:rsid w:val="00451E28"/>
    <w:rsid w:val="00462C62"/>
    <w:rsid w:val="00465D36"/>
    <w:rsid w:val="004C17EE"/>
    <w:rsid w:val="004C4BDF"/>
    <w:rsid w:val="004D1187"/>
    <w:rsid w:val="004D372C"/>
    <w:rsid w:val="004D3AA0"/>
    <w:rsid w:val="004E1987"/>
    <w:rsid w:val="004E2E15"/>
    <w:rsid w:val="004E6E3C"/>
    <w:rsid w:val="00520898"/>
    <w:rsid w:val="00523621"/>
    <w:rsid w:val="00524986"/>
    <w:rsid w:val="005268F6"/>
    <w:rsid w:val="00534284"/>
    <w:rsid w:val="00547DB7"/>
    <w:rsid w:val="00565F7C"/>
    <w:rsid w:val="005B0430"/>
    <w:rsid w:val="005E6CEC"/>
    <w:rsid w:val="005F4F09"/>
    <w:rsid w:val="0061431B"/>
    <w:rsid w:val="00622BAA"/>
    <w:rsid w:val="006306CF"/>
    <w:rsid w:val="00644E9A"/>
    <w:rsid w:val="00671BD5"/>
    <w:rsid w:val="006805C1"/>
    <w:rsid w:val="00686C21"/>
    <w:rsid w:val="006931C1"/>
    <w:rsid w:val="00694556"/>
    <w:rsid w:val="00696960"/>
    <w:rsid w:val="006B6C39"/>
    <w:rsid w:val="006C30C5"/>
    <w:rsid w:val="006C4820"/>
    <w:rsid w:val="006D3B31"/>
    <w:rsid w:val="006E0D96"/>
    <w:rsid w:val="006E1A53"/>
    <w:rsid w:val="006F56E6"/>
    <w:rsid w:val="006F75FC"/>
    <w:rsid w:val="00704EDA"/>
    <w:rsid w:val="00713410"/>
    <w:rsid w:val="00721122"/>
    <w:rsid w:val="00753019"/>
    <w:rsid w:val="00754801"/>
    <w:rsid w:val="00761441"/>
    <w:rsid w:val="00795365"/>
    <w:rsid w:val="0079732E"/>
    <w:rsid w:val="007A351D"/>
    <w:rsid w:val="007A4C01"/>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774B2"/>
    <w:rsid w:val="00881CCE"/>
    <w:rsid w:val="0088479D"/>
    <w:rsid w:val="00896889"/>
    <w:rsid w:val="00897DAF"/>
    <w:rsid w:val="008C5714"/>
    <w:rsid w:val="008D10B2"/>
    <w:rsid w:val="00903896"/>
    <w:rsid w:val="00906F3D"/>
    <w:rsid w:val="00940B55"/>
    <w:rsid w:val="0094424E"/>
    <w:rsid w:val="00955642"/>
    <w:rsid w:val="009622DF"/>
    <w:rsid w:val="0096493F"/>
    <w:rsid w:val="00967DFF"/>
    <w:rsid w:val="00994341"/>
    <w:rsid w:val="00996935"/>
    <w:rsid w:val="009D1A48"/>
    <w:rsid w:val="009E1CE7"/>
    <w:rsid w:val="009E4EA5"/>
    <w:rsid w:val="009F164B"/>
    <w:rsid w:val="009F323C"/>
    <w:rsid w:val="00A0238A"/>
    <w:rsid w:val="00A3392B"/>
    <w:rsid w:val="00A64AC5"/>
    <w:rsid w:val="00A73967"/>
    <w:rsid w:val="00A76842"/>
    <w:rsid w:val="00A85E34"/>
    <w:rsid w:val="00A94B64"/>
    <w:rsid w:val="00AA3229"/>
    <w:rsid w:val="00AA7596"/>
    <w:rsid w:val="00AB5E52"/>
    <w:rsid w:val="00AC1527"/>
    <w:rsid w:val="00AC30D6"/>
    <w:rsid w:val="00AC3B02"/>
    <w:rsid w:val="00AC3B7B"/>
    <w:rsid w:val="00AC5209"/>
    <w:rsid w:val="00AC5F57"/>
    <w:rsid w:val="00AE0E34"/>
    <w:rsid w:val="00AE729E"/>
    <w:rsid w:val="00AE7752"/>
    <w:rsid w:val="00AF7FDA"/>
    <w:rsid w:val="00B307B0"/>
    <w:rsid w:val="00B5356E"/>
    <w:rsid w:val="00B809AD"/>
    <w:rsid w:val="00B80CBD"/>
    <w:rsid w:val="00B86096"/>
    <w:rsid w:val="00B964D9"/>
    <w:rsid w:val="00BA0A7C"/>
    <w:rsid w:val="00BA439E"/>
    <w:rsid w:val="00BA517C"/>
    <w:rsid w:val="00BB3D05"/>
    <w:rsid w:val="00BB73BE"/>
    <w:rsid w:val="00BC2D89"/>
    <w:rsid w:val="00BD6531"/>
    <w:rsid w:val="00BE05B2"/>
    <w:rsid w:val="00BF1908"/>
    <w:rsid w:val="00C22D93"/>
    <w:rsid w:val="00C23458"/>
    <w:rsid w:val="00C31120"/>
    <w:rsid w:val="00C34482"/>
    <w:rsid w:val="00C43648"/>
    <w:rsid w:val="00C50A9F"/>
    <w:rsid w:val="00C55503"/>
    <w:rsid w:val="00C63834"/>
    <w:rsid w:val="00C642FA"/>
    <w:rsid w:val="00C70A14"/>
    <w:rsid w:val="00CC0458"/>
    <w:rsid w:val="00CC7622"/>
    <w:rsid w:val="00CD608F"/>
    <w:rsid w:val="00CF6B4F"/>
    <w:rsid w:val="00CF6BB7"/>
    <w:rsid w:val="00D04AA4"/>
    <w:rsid w:val="00D139F7"/>
    <w:rsid w:val="00D27982"/>
    <w:rsid w:val="00D33B86"/>
    <w:rsid w:val="00D3465A"/>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335DA"/>
    <w:rsid w:val="00E5426A"/>
    <w:rsid w:val="00E54642"/>
    <w:rsid w:val="00E54CD9"/>
    <w:rsid w:val="00E80411"/>
    <w:rsid w:val="00E80CBE"/>
    <w:rsid w:val="00E962E3"/>
    <w:rsid w:val="00EB6C79"/>
    <w:rsid w:val="00EC37E9"/>
    <w:rsid w:val="00EF1BC1"/>
    <w:rsid w:val="00F038D8"/>
    <w:rsid w:val="00F06995"/>
    <w:rsid w:val="00F13623"/>
    <w:rsid w:val="00F44D1D"/>
    <w:rsid w:val="00F84B6D"/>
    <w:rsid w:val="00F957E8"/>
    <w:rsid w:val="00FA311A"/>
    <w:rsid w:val="00FA5FDA"/>
    <w:rsid w:val="00FB6AB3"/>
    <w:rsid w:val="00FD1419"/>
    <w:rsid w:val="00FD1F0C"/>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A4C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1488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63DAB" w:rsidP="00F63DAB">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E6526"/>
    <w:rsid w:val="00746837"/>
    <w:rsid w:val="0076745B"/>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3DAB"/>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63D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עכו- סדרי דין</FullName>
        <LastName>המחלקה לשירותים חברתיים- עכו- סדרי דין</LastName>
        <PartyPropertyName/>
        <AuthenticationTypeAndNumber>משרדי ממשלה 570001152</AuthenticationTypeAndNumber>
        <RepresentatedOrRepresentativesNames/>
        <RepresentatedOrRepresentativesCount>0</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259513935</CasePartyID>
        <PartyTypeID>3</PartyTypeID>
        <ActivityStatusID>1</ActivityStatusID>
        <LegalEntityID>57396758</LegalEntityID>
        <CaseLegalEntityID>125581546</CaseLegalEntityID>
        <AssistantRoleID>16</AssistantRoleID>
        <AuthenticationTypeID>13</AuthenticationTypeID>
        <AuthenticationTypeName>משרדי ממשלה</AuthenticationTypeName>
        <LegalEntityNumber>570001152</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ויצמן 35 עכו </FullAddress>
        <EmailAddress>gilad@akko.muni.il</EmailAddress>
        <MotionID>0</MotionID>
        <CasePleaID>0</CasePleaID>
        <LinkedCaseID>0</LinkedCaseID>
        <PartyID>1</PartyID>
        <CasePartyCategoryID>2</CasePartyCategoryID>
        <LegalEntityAddressID>58038061</LegalEntityAddressID>
        <LegalEntityEmailAddressID>68233827</LegalEntityEmailAddressID>
        <PleaTypeID>4</PleaTypeID>
        <GroupPartyAlias/>
        <IsConverted>false</IsConverted>
        <LegalEntityRegisteredNameID>10200055</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עכו-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סאמר בשארה</FullName>
        <FirstName>סאמר</FirstName>
        <LastName>בשארה</LastName>
        <PartyPropertyName/>
        <AuthenticationTypeAndNumber>מ.ר. 23996</AuthenticationTypeAndNumber>
        <RepresentatedOrRepresentativesNames>הלאל בריק</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261583416</CasePartyID>
        <PartyTypeID>2</PartyTypeID>
        <ActivityStatusID>1</ActivityStatusID>
        <PartyAliasID>21</PartyAliasID>
        <PartyAliasName>בא כוח נתבעים</PartyAliasName>
        <LegalEntityID>386151</LegalEntityID>
        <CaseLegalEntityID>126284118</CaseLegalEntityID>
        <AuthenticationTypeID>4</AuthenticationTypeID>
        <AuthenticationTypeName>מ.ר.</AuthenticationTypeName>
        <LegalEntityNumber>23996</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הנאמנים 29 חיפה </FullAddress>
        <EmailAddress>samer-law@bezeqint.net</EmailAddress>
        <MotionID>0</MotionID>
        <CasePleaID>0</CasePleaID>
        <FatherName xml:space="preserve">        </FatherName>
        <LinkedCaseID>0</LinkedCaseID>
        <PartyID>2</PartyID>
        <CasePartyCategoryID>2</CasePartyCategoryID>
        <LegalEntityAddressID>84286459</LegalEntityAddressID>
        <LegalEntityEmailAddressID>68080990</LegalEntityEmailAddressID>
        <PleaTypeID>4</PleaTypeID>
        <LawyerOfficeName>סאמר בשארה </LawyerOfficeName>
        <LawyerOfficeID>419775</LawyerOfficeID>
        <GroupPartyAlias/>
        <IsConverted>false</IsConverted>
        <LegalEntityNameID>7135</LegalEntityNameID>
        <RepresentatedNamesOfAssistant/>
        <LegalEntityTypeID>4</LegalEntityTypeID>
        <IsVerdictExists>false</IsVerdictExists>
        <IsAsirAzir>false</IsAsirAzir>
        <IsPublicationProhibited>false</IsPublicationProhibited>
        <PublicationProhibitedFullName>סאמר בשארה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אסמירה נפתלי</FullName>
        <FirstName>אסמירה</FirstName>
        <LastName>נפתלי</LastName>
        <PartyPropertyName/>
        <AuthenticationTypeAndNumber>ת"ז 312788466</AuthenticationTypeAndNumber>
        <RepresentatedOrRepresentativesNames>חן שטח</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257504571</CasePartyID>
        <PartyTypeID>1</PartyTypeID>
        <ActivityStatusID>1</ActivityStatusID>
        <PartyAliasID>1</PartyAliasID>
        <PartyAliasName>תובע</PartyAliasName>
        <OrdinalNumber>1</OrdinalNumber>
        <LegalEntityID>57437198</LegalEntityID>
        <CaseLegalEntityID>124912115</CaseLegalEntityID>
        <AuthenticationTypeID>1</AuthenticationTypeID>
        <AuthenticationTypeName>ת"ז</AuthenticationTypeName>
        <LegalEntityNumber>312788466</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ז'בוטינסקי 49/2 קריית מוצקין </FullAddress>
        <MotionID>0</MotionID>
        <CasePleaID>0</CasePleaID>
        <FatherName>רפיק</FatherName>
        <LinkedCaseID>0</LinkedCaseID>
        <PartyID>1</PartyID>
        <CasePartyCategoryID>2</CasePartyCategoryID>
        <LegalEntityAddressID>88090052</LegalEntityAddressID>
        <PleaTypeID>4</PleaTypeID>
        <GroupPartyAlias>תובעים</GroupPartyAlias>
        <IsConverted>false</IsConverted>
        <LegalEntityRegisteredNameID>10349855</LegalEntityRegisteredNameID>
        <LegalEntityNameID>95077824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אסמירה נפתלי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שטח</FullName>
        <FirstName>חן</FirstName>
        <LastName>שטח</LastName>
        <PartyPropertyName/>
        <AuthenticationTypeAndNumber>מ.ר. 65064</AuthenticationTypeAndNumber>
        <RepresentatedOrRepresentativesNames>אסמירה נפתלי</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257504572</CasePartyID>
        <PartyTypeID>2</PartyTypeID>
        <ActivityStatusID>1</ActivityStatusID>
        <PartyAliasID>20</PartyAliasID>
        <PartyAliasName>בא כוח תובעים</PartyAliasName>
        <OrdinalNumber>1</OrdinalNumber>
        <LegalEntityID>76063829</LegalEntityID>
        <CaseLegalEntityID>124912116</CaseLegalEntityID>
        <AuthenticationTypeID>4</AuthenticationTypeID>
        <AuthenticationTypeName>מ.ר.</AuthenticationTypeName>
        <LegalEntityNumber>65064</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שיבולים 8 רחובות </FullAddress>
        <EmailAddress>chensadv@gmail.com</EmailAddress>
        <MotionID>0</MotionID>
        <CasePleaID>0</CasePleaID>
        <LinkedCaseID>0</LinkedCaseID>
        <PartyID>1</PartyID>
        <CasePartyCategoryID>2</CasePartyCategoryID>
        <LegalEntityAddressID>79507374</LegalEntityAddressID>
        <LegalEntityEmailAddressID>67932413</LegalEntityEmailAddressID>
        <PleaTypeID>4</PleaTypeID>
        <LawyerOfficeName>משרד עו"ד חן שטח</LawyerOfficeName>
        <LawyerOfficeID>76063830</LawyerOfficeID>
        <GroupPartyAlias/>
        <IsConverted>false</IsConverted>
        <LegalEntityNameID>83222892</LegalEntityNameID>
        <RepresentatedNamesOfAssistant/>
        <LegalEntityTypeID>4</LegalEntityTypeID>
        <IsVerdictExists>false</IsVerdictExists>
        <IsAsirAzir>false</IsAsirAzir>
        <IsPublicationProhibited>false</IsPublicationProhibited>
        <PublicationProhibitedFullName>חן שטח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הלאל בריק</FullName>
        <FirstName>הלאל</FirstName>
        <LastName>בריק</LastName>
        <PartyPropertyName/>
        <AuthenticationTypeAndNumber>ת"ז 037795564</AuthenticationTypeAndNumber>
        <RepresentatedOrRepresentativesNames>סאמר בשארה</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257504573</CasePartyID>
        <PartyTypeID>1</PartyTypeID>
        <ActivityStatusID>1</ActivityStatusID>
        <PartyAliasID>2</PartyAliasID>
        <PartyAliasName>נתבע</PartyAliasName>
        <OrdinalNumber>1</OrdinalNumber>
        <LegalEntityID>57450644</LegalEntityID>
        <CaseLegalEntityID>124912117</CaseLegalEntityID>
        <AuthenticationTypeID>1</AuthenticationTypeID>
        <AuthenticationTypeName>ת"ז</AuthenticationTypeName>
        <LegalEntityNumber>037795564</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רחוב ירושלים 8/40 עכו </FullAddress>
        <MotionID>0</MotionID>
        <CasePleaID>0</CasePleaID>
        <BirthDate>1983-09-09T00:00:00+03:00</BirthDate>
        <FatherName>גמאל</FatherName>
        <LinkedCaseID>0</LinkedCaseID>
        <PartyID>2</PartyID>
        <CasePartyCategoryID>2</CasePartyCategoryID>
        <LegalEntityAddressID>88090053</LegalEntityAddressID>
        <PleaTypeID>4</PleaTypeID>
        <GroupPartyAlias>נתבעים</GroupPartyAlias>
        <IsConverted>false</IsConverted>
        <LegalEntityRegisteredNameID>2096436</LegalEntityRegisteredNameID>
        <LegalEntityNameID>95077825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הלאל בריק</PublicationProhibitedFullName>
      </CaseParties>
    </CasePartiesSelectionDS>
    <DecisionName>החלטה  שניתנה ע"י  ליאת דהן חיון</DecisionName>
    <CourtDisplayName>בית משפט לענייני משפחה בקריות</CourtDisplayName>
    <IsCaseJudgePanel>false</IsCaseJudgePanel>
    <DecisionSignatureDate>2024-05-25T11:56:22.0142814+03:00</DecisionSignatureDate>
    <OpenCaseDate>2023-06-26T07:00:00+03:00</OpenCaseDate>
    <CaseFeeSum>0.000</CaseFeeSum>
    <DecisionTypeID>1</DecisionTypeID>
    <DecisionSignatureUserName>ליאת דהן חיון</DecisionSignatureUserName>
    <DecisionSignatureDateHebrew>2024-05-25T11:56:22.0142814+03:00</DecisionSignatureDateHebrew>
    <DecisionWriterID>036317956@GOV.IL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דז'לילוב נ' בריק</CaseName>
    <DecisionNumberInCase>26</DecisionNumberInCase>
  </dt_Decision>
  <dt_DecisionCase>
    <DecisionID>0</DecisionID>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עכו- סדרי דין</FullName>
        <LastName>המחלקה לשירותים חברתיים- עכו- סדרי דין</LastName>
        <PartyPropertyName/>
        <AuthenticationTypeAndNumber>משרדי ממשלה 570001152</AuthenticationTypeAndNumber>
        <RepresentatedOrRepresentativesNames/>
        <RepresentatedOrRepresentativesCount>0</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259513935</CasePartyID>
        <PartyTypeID>3</PartyTypeID>
        <ActivityStatusID>1</ActivityStatusID>
        <LegalEntityID>57396758</LegalEntityID>
        <CaseLegalEntityID>125581546</CaseLegalEntityID>
        <AssistantRoleID>16</AssistantRoleID>
        <AuthenticationTypeID>13</AuthenticationTypeID>
        <AuthenticationTypeName>משרדי ממשלה</AuthenticationTypeName>
        <LegalEntityNumber>570001152</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ויצמן 35 עכו </FullAddress>
        <EmailAddress>gilad@akko.muni.il</EmailAddress>
        <MotionID>0</MotionID>
        <CasePleaID>0</CasePleaID>
        <LinkedCaseID>0</LinkedCaseID>
        <PartyID>1</PartyID>
        <CasePartyCategoryID>2</CasePartyCategoryID>
        <LegalEntityAddressID>58038061</LegalEntityAddressID>
        <LegalEntityEmailAddressID>68233827</LegalEntityEmailAddressID>
        <PleaTypeID>4</PleaTypeID>
        <GroupPartyAlias/>
        <IsConverted>false</IsConverted>
        <LegalEntityRegisteredNameID>10200055</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עכו-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סאמר בשארה</FullName>
        <FirstName>סאמר</FirstName>
        <LastName>בשארה</LastName>
        <PartyPropertyName/>
        <AuthenticationTypeAndNumber>מ.ר. 23996</AuthenticationTypeAndNumber>
        <RepresentatedOrRepresentativesNames>הלאל בריק</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261583416</CasePartyID>
        <PartyTypeID>2</PartyTypeID>
        <ActivityStatusID>1</ActivityStatusID>
        <PartyAliasID>21</PartyAliasID>
        <PartyAliasName>בא כוח נתבעים</PartyAliasName>
        <LegalEntityID>386151</LegalEntityID>
        <CaseLegalEntityID>126284118</CaseLegalEntityID>
        <AuthenticationTypeID>4</AuthenticationTypeID>
        <AuthenticationTypeName>מ.ר.</AuthenticationTypeName>
        <LegalEntityNumber>23996</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הנאמנים 29 חיפה </FullAddress>
        <EmailAddress>samer-law@bezeqint.net</EmailAddress>
        <MotionID>0</MotionID>
        <CasePleaID>0</CasePleaID>
        <FatherName xml:space="preserve">        </FatherName>
        <LinkedCaseID>0</LinkedCaseID>
        <PartyID>2</PartyID>
        <CasePartyCategoryID>2</CasePartyCategoryID>
        <LegalEntityAddressID>84286459</LegalEntityAddressID>
        <LegalEntityEmailAddressID>68080990</LegalEntityEmailAddressID>
        <PleaTypeID>4</PleaTypeID>
        <LawyerOfficeName>סאמר בשארה </LawyerOfficeName>
        <LawyerOfficeID>419775</LawyerOfficeID>
        <GroupPartyAlias/>
        <IsConverted>false</IsConverted>
        <LegalEntityNameID>7135</LegalEntityNameID>
        <RepresentatedNamesOfAssistant/>
        <LegalEntityTypeID>4</LegalEntityTypeID>
        <IsVerdictExists>false</IsVerdictExists>
        <IsAsirAzir>false</IsAsirAzir>
        <IsPublicationProhibited>false</IsPublicationProhibited>
        <PublicationProhibitedFullName>סאמר בשארה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אסמירה נפתלי</FullName>
        <FirstName>אסמירה</FirstName>
        <LastName>נפתלי</LastName>
        <PartyPropertyName/>
        <AuthenticationTypeAndNumber>ת"ז 312788466</AuthenticationTypeAndNumber>
        <RepresentatedOrRepresentativesNames>חן שטח</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257504571</CasePartyID>
        <PartyTypeID>1</PartyTypeID>
        <ActivityStatusID>1</ActivityStatusID>
        <PartyAliasID>1</PartyAliasID>
        <PartyAliasName>תובע</PartyAliasName>
        <OrdinalNumber>1</OrdinalNumber>
        <LegalEntityID>57437198</LegalEntityID>
        <CaseLegalEntityID>124912115</CaseLegalEntityID>
        <AuthenticationTypeID>1</AuthenticationTypeID>
        <AuthenticationTypeName>ת"ז</AuthenticationTypeName>
        <LegalEntityNumber>312788466</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ז'בוטינסקי 49/2 קריית מוצקין </FullAddress>
        <MotionID>0</MotionID>
        <CasePleaID>0</CasePleaID>
        <FatherName>רפיק</FatherName>
        <LinkedCaseID>0</LinkedCaseID>
        <PartyID>1</PartyID>
        <CasePartyCategoryID>2</CasePartyCategoryID>
        <LegalEntityAddressID>88090052</LegalEntityAddressID>
        <PleaTypeID>4</PleaTypeID>
        <GroupPartyAlias>תובעים</GroupPartyAlias>
        <IsConverted>false</IsConverted>
        <LegalEntityRegisteredNameID>10349855</LegalEntityRegisteredNameID>
        <LegalEntityNameID>95077824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אסמירה נפתלי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חן שטח</FullName>
        <FirstName>חן</FirstName>
        <LastName>שטח</LastName>
        <PartyPropertyName/>
        <AuthenticationTypeAndNumber>מ.ר. 65064</AuthenticationTypeAndNumber>
        <RepresentatedOrRepresentativesNames>אסמירה נפתלי</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257504572</CasePartyID>
        <PartyTypeID>2</PartyTypeID>
        <ActivityStatusID>1</ActivityStatusID>
        <PartyAliasID>20</PartyAliasID>
        <PartyAliasName>בא כוח תובעים</PartyAliasName>
        <OrdinalNumber>1</OrdinalNumber>
        <LegalEntityID>76063829</LegalEntityID>
        <CaseLegalEntityID>124912116</CaseLegalEntityID>
        <AuthenticationTypeID>4</AuthenticationTypeID>
        <AuthenticationTypeName>מ.ר.</AuthenticationTypeName>
        <LegalEntityNumber>65064</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שיבולים 8 רחובות </FullAddress>
        <EmailAddress>chensadv@gmail.com</EmailAddress>
        <MotionID>0</MotionID>
        <CasePleaID>0</CasePleaID>
        <LinkedCaseID>0</LinkedCaseID>
        <PartyID>1</PartyID>
        <CasePartyCategoryID>2</CasePartyCategoryID>
        <LegalEntityAddressID>79507374</LegalEntityAddressID>
        <LegalEntityEmailAddressID>67932413</LegalEntityEmailAddressID>
        <PleaTypeID>4</PleaTypeID>
        <LawyerOfficeName>משרד עו"ד חן שטח</LawyerOfficeName>
        <LawyerOfficeID>76063830</LawyerOfficeID>
        <GroupPartyAlias/>
        <IsConverted>false</IsConverted>
        <LegalEntityNameID>83222892</LegalEntityNameID>
        <RepresentatedNamesOfAssistant/>
        <LegalEntityTypeID>4</LegalEntityTypeID>
        <IsVerdictExists>false</IsVerdictExists>
        <IsAsirAzir>false</IsAsirAzir>
        <IsPublicationProhibited>false</IsPublicationProhibited>
        <PublicationProhibitedFullName>חן שטח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הלאל בריק</FullName>
        <FirstName>הלאל</FirstName>
        <LastName>בריק</LastName>
        <PartyPropertyName/>
        <AuthenticationTypeAndNumber>ת"ז 037795564</AuthenticationTypeAndNumber>
        <RepresentatedOrRepresentativesNames>סאמר בשארה</RepresentatedOrRepresentativesNames>
        <RepresentatedOrRepresentativesCount>1</RepresentatedOrRepresentativesCount>
        <InvitedBy/>
        <CaseID>80374571</CaseID>
        <CaseJudicialPersonPresentationDS>
          <CaseJudicalPersonActive>
            <CaseID>80374571</CaseID>
            <JudicialPersonID>036317956@GOV.IL</JudicialPersonID>
            <JudicialPersonTypeID>1</JudicialPersonTypeID>
            <JudicialTypeID>1</JudicialTypeID>
            <IsChairman>false</IsChairman>
            <TreatmentStartDate>2023-06-26T08:37:11.427+03:00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257504573</CasePartyID>
        <PartyTypeID>1</PartyTypeID>
        <ActivityStatusID>1</ActivityStatusID>
        <PartyAliasID>2</PartyAliasID>
        <PartyAliasName>נתבע</PartyAliasName>
        <OrdinalNumber>1</OrdinalNumber>
        <LegalEntityID>57450644</LegalEntityID>
        <CaseLegalEntityID>124912117</CaseLegalEntityID>
        <AuthenticationTypeID>1</AuthenticationTypeID>
        <AuthenticationTypeName>ת"ז</AuthenticationTypeName>
        <LegalEntityNumber>037795564</LegalEntityNumber>
        <IsMainPartyType>true</IsMainPartyType>
        <CaseDisplayIdentifier>60636-06-23</CaseDisplayIdentifier>
        <CaseTypeID>10262</CaseTypeID>
        <CaseTypeName>תביעה לאחר הסדר התדיינויות במשפחה (תלה"מ)</CaseTypeName>
        <CaseName>דז'לילוב נ' בריק</CaseName>
        <FullAddress>רחוב ירושלים 8/40 עכו </FullAddress>
        <MotionID>0</MotionID>
        <CasePleaID>0</CasePleaID>
        <BirthDate>1983-09-09T00:00:00+03:00</BirthDate>
        <FatherName>גמאל</FatherName>
        <LinkedCaseID>0</LinkedCaseID>
        <PartyID>2</PartyID>
        <CasePartyCategoryID>2</CasePartyCategoryID>
        <LegalEntityAddressID>88090053</LegalEntityAddressID>
        <PleaTypeID>4</PleaTypeID>
        <GroupPartyAlias>נתבעים</GroupPartyAlias>
        <IsConverted>false</IsConverted>
        <LegalEntityRegisteredNameID>2096436</LegalEntityRegisteredNameID>
        <LegalEntityNameID>95077825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הלאל בריק</PublicationProhibitedFullName>
      </CaseParties>
    </CasePartiesSelectionDS>
    <CaseName>דז'לילוב נ' בריק</CaseName>
    <CaseDisplayIdentifier>60636-06-23</CaseDisplayIdentifier>
    <CaseInterestID>10510</CaseInterestID>
    <CaseTypeShortName>תלה"מ</CaseTypeShortName>
  </dt_DecisionCase>
  <dt_DecisionJudgePanel>
    <JudgeID>036317956@GOV.IL</JudgeID>
    <DisplayName>ליאת דהן חיון</DisplayName>
    <RoleName>שופט</RoleName>
    <UserTitleName>שופטת</UserTitleName>
  </dt_DecisionJudgePanel>
  <dt_LegalEntityDetails>
    <Fax/>
    <Phone/>
    <AddressDesc/>
    <PartyID>1</PartyID>
    <PartyTypeID>3</PartyTypeID>
    <DecisionID>0</DecisionID>
    <AssistantRoleID>16</AssistantRoleID>
    <StreetName>ויצמן 35</StreetName>
    <CityName>עכו</CityName>
    <FullName> המחלקה לשירותים חברתיים- עכו- סדרי דין</FullName>
    <Email>gilad@akko.muni.il</Email>
    <IsPublicationProhibited>false</IsPublicationProhibited>
  </dt_LegalEntityDetails>
  <dt_LegalEntityDetails>
    <Fax>153-48536195</Fax>
    <PartyID>2</PartyID>
    <PartyTypeID>2</PartyTypeID>
    <DecisionID>0</DecisionID>
    <StreetName>הנאמנים 29</StreetName>
    <ZipCode>3326444</ZipCode>
    <CityName>חיפה</CityName>
    <FullName>סאמר בשארה</FullName>
    <Email>samer-law@bezeqint.net</Email>
    <IsPublicationProhibited>false</IsPublicationProhibited>
  </dt_LegalEntityDetails>
  <dt_LegalEntityDetails>
    <PartyID>1</PartyID>
    <PartyTypeID>1</PartyTypeID>
    <DecisionID>0</DecisionID>
    <StreetName>ז'בוטינסקי 49/2</StreetName>
    <ZipCode>12324</ZipCode>
    <CityName>קריית מוצקין</CityName>
    <FullName>אסמירה נפתלי</FullName>
    <IsPublicationProhibited>false</IsPublicationProhibited>
  </dt_LegalEntityDetails>
  <dt_LegalEntityDetails>
    <Fax>153-86766988</Fax>
    <Phone>08-6766988</Phone>
    <PartyID>1</PartyID>
    <PartyTypeID>2</PartyTypeID>
    <DecisionID>0</DecisionID>
    <StreetName>שיבולים 8</StreetName>
    <CityName>רחובות</CityName>
    <FullName>חן שטח</FullName>
    <Email>chensadv@gmail.com</Email>
    <IsPublicationProhibited>false</IsPublicationProhibited>
  </dt_LegalEntityDetails>
  <dt_LegalEntityDetails>
    <PartyID>2</PartyID>
    <PartyTypeID>1</PartyTypeID>
    <DecisionID>0</DecisionID>
    <StreetName>רחוב ירושלים 8/40</StreetName>
    <ZipCode>23412</ZipCode>
    <CityName>עכו</CityName>
    <FullName>הלאל בריק</FullName>
    <IsPublicationProhibited>false</IsPublicationProhibited>
  </dt_LegalEntityDetails>
  <dt_CaseJudicalPersonActive>
    <CaseJudicalPerson>שופטת ליאת דהן חיון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E124A-9497-4BD7-B0D5-B6D140A408EA}">
  <ds:schemaRefs/>
</ds:datastoreItem>
</file>

<file path=customXml/itemProps2.xml><?xml version="1.0" encoding="utf-8"?>
<ds:datastoreItem xmlns:ds="http://schemas.openxmlformats.org/officeDocument/2006/customXml" ds:itemID="{4D9FAC4C-AF3A-493F-9669-E1F69101E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6235</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2024-06-13T08:20:00Z</dcterms:created>
  <dcterms:modified xsi:type="dcterms:W3CDTF">2024-06-13T08:20:00Z</dcterms:modified>
</cp:coreProperties>
</file>